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24D" w14:textId="40E61CED" w:rsidR="006F00FC" w:rsidRPr="00F8524A" w:rsidRDefault="00686558" w:rsidP="0000689E">
      <w:pPr>
        <w:pStyle w:val="Header"/>
        <w:tabs>
          <w:tab w:val="clear" w:pos="4153"/>
          <w:tab w:val="clear" w:pos="8306"/>
        </w:tabs>
        <w:jc w:val="both"/>
        <w:rPr>
          <w:rFonts w:cs="Arial"/>
          <w:b/>
          <w:bCs/>
          <w:szCs w:val="24"/>
        </w:rPr>
      </w:pPr>
      <w:r>
        <w:rPr>
          <w:rFonts w:cs="Arial"/>
          <w:b/>
          <w:bCs/>
          <w:noProof/>
          <w:szCs w:val="24"/>
          <w:lang w:val="en-US"/>
        </w:rPr>
        <w:drawing>
          <wp:anchor distT="0" distB="0" distL="114300" distR="114300" simplePos="0" relativeHeight="251657728" behindDoc="1" locked="0" layoutInCell="1" allowOverlap="1" wp14:anchorId="50590074" wp14:editId="43CA3F2B">
            <wp:simplePos x="0" y="0"/>
            <wp:positionH relativeFrom="column">
              <wp:posOffset>-540385</wp:posOffset>
            </wp:positionH>
            <wp:positionV relativeFrom="paragraph">
              <wp:posOffset>-457200</wp:posOffset>
            </wp:positionV>
            <wp:extent cx="7581900" cy="1104900"/>
            <wp:effectExtent l="0" t="0" r="0" b="0"/>
            <wp:wrapTight wrapText="bothSides">
              <wp:wrapPolygon edited="0">
                <wp:start x="0" y="0"/>
                <wp:lineTo x="0" y="21228"/>
                <wp:lineTo x="21546" y="21228"/>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104900"/>
                    </a:xfrm>
                    <a:prstGeom prst="rect">
                      <a:avLst/>
                    </a:prstGeom>
                    <a:noFill/>
                  </pic:spPr>
                </pic:pic>
              </a:graphicData>
            </a:graphic>
            <wp14:sizeRelH relativeFrom="page">
              <wp14:pctWidth>0</wp14:pctWidth>
            </wp14:sizeRelH>
            <wp14:sizeRelV relativeFrom="page">
              <wp14:pctHeight>0</wp14:pctHeight>
            </wp14:sizeRelV>
          </wp:anchor>
        </w:drawing>
      </w:r>
    </w:p>
    <w:p w14:paraId="3ECCC976"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HARROW COUNCIL</w:t>
      </w:r>
    </w:p>
    <w:p w14:paraId="51598683" w14:textId="77777777" w:rsidR="00393BFD" w:rsidRPr="00F8524A" w:rsidRDefault="00393BFD" w:rsidP="0000689E">
      <w:pPr>
        <w:pStyle w:val="Header"/>
        <w:tabs>
          <w:tab w:val="clear" w:pos="4153"/>
          <w:tab w:val="clear" w:pos="8306"/>
        </w:tabs>
        <w:jc w:val="both"/>
        <w:rPr>
          <w:rFonts w:cs="Arial"/>
          <w:b/>
          <w:bCs/>
          <w:szCs w:val="24"/>
        </w:rPr>
      </w:pPr>
    </w:p>
    <w:p w14:paraId="728A36D7"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ADDENDUM</w:t>
      </w:r>
    </w:p>
    <w:p w14:paraId="3B66BB7C" w14:textId="77777777" w:rsidR="00393BFD" w:rsidRPr="00F8524A" w:rsidRDefault="00393BFD" w:rsidP="0000689E">
      <w:pPr>
        <w:pStyle w:val="Header"/>
        <w:tabs>
          <w:tab w:val="clear" w:pos="4153"/>
          <w:tab w:val="clear" w:pos="8306"/>
        </w:tabs>
        <w:jc w:val="both"/>
        <w:rPr>
          <w:rFonts w:cs="Arial"/>
          <w:b/>
          <w:bCs/>
          <w:szCs w:val="24"/>
        </w:rPr>
      </w:pPr>
    </w:p>
    <w:p w14:paraId="6F3354BE"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 xml:space="preserve">PLANNING COMMITTEE </w:t>
      </w:r>
    </w:p>
    <w:p w14:paraId="1F46EEEB" w14:textId="77777777" w:rsidR="00393BFD" w:rsidRPr="00F8524A" w:rsidRDefault="00393BFD" w:rsidP="0000689E">
      <w:pPr>
        <w:pStyle w:val="Header"/>
        <w:tabs>
          <w:tab w:val="clear" w:pos="4153"/>
          <w:tab w:val="clear" w:pos="8306"/>
        </w:tabs>
        <w:jc w:val="both"/>
        <w:rPr>
          <w:rFonts w:cs="Arial"/>
          <w:b/>
          <w:bCs/>
          <w:szCs w:val="24"/>
        </w:rPr>
      </w:pPr>
    </w:p>
    <w:p w14:paraId="7F486471" w14:textId="0B578B7D" w:rsidR="00B74F33" w:rsidRPr="00F8524A" w:rsidRDefault="00393BFD" w:rsidP="0000689E">
      <w:pPr>
        <w:pStyle w:val="Header"/>
        <w:tabs>
          <w:tab w:val="clear" w:pos="4153"/>
          <w:tab w:val="clear" w:pos="8306"/>
        </w:tabs>
        <w:jc w:val="both"/>
        <w:rPr>
          <w:rFonts w:cs="Arial"/>
          <w:b/>
          <w:bCs/>
          <w:szCs w:val="24"/>
        </w:rPr>
      </w:pPr>
      <w:r w:rsidRPr="00F8524A">
        <w:rPr>
          <w:rFonts w:cs="Arial"/>
          <w:b/>
          <w:bCs/>
          <w:szCs w:val="24"/>
        </w:rPr>
        <w:t>DATE:</w:t>
      </w:r>
      <w:r w:rsidR="009C2665" w:rsidRPr="00F8524A">
        <w:rPr>
          <w:rFonts w:cs="Arial"/>
          <w:b/>
          <w:bCs/>
          <w:szCs w:val="24"/>
        </w:rPr>
        <w:t xml:space="preserve"> </w:t>
      </w:r>
      <w:r w:rsidR="00C875AB">
        <w:rPr>
          <w:rFonts w:cs="Arial"/>
          <w:b/>
          <w:bCs/>
          <w:szCs w:val="24"/>
        </w:rPr>
        <w:t>16 February 2022</w:t>
      </w:r>
    </w:p>
    <w:p w14:paraId="1742304D" w14:textId="77777777" w:rsidR="00BF5551" w:rsidRPr="00F8524A" w:rsidRDefault="00BF5551" w:rsidP="0000689E">
      <w:pPr>
        <w:pStyle w:val="BodyText"/>
        <w:jc w:val="left"/>
        <w:rPr>
          <w:rFonts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6"/>
        <w:gridCol w:w="3417"/>
        <w:gridCol w:w="3743"/>
      </w:tblGrid>
      <w:tr w:rsidR="00C61F5B" w:rsidRPr="00F8524A" w14:paraId="669E25FB" w14:textId="77777777" w:rsidTr="00686558">
        <w:tc>
          <w:tcPr>
            <w:tcW w:w="828" w:type="dxa"/>
          </w:tcPr>
          <w:p w14:paraId="3DDBF804" w14:textId="77777777" w:rsidR="003B085B" w:rsidRDefault="003B085B" w:rsidP="00EA7CBB">
            <w:pPr>
              <w:tabs>
                <w:tab w:val="left" w:pos="4962"/>
                <w:tab w:val="left" w:pos="7655"/>
              </w:tabs>
              <w:ind w:right="45"/>
              <w:rPr>
                <w:rFonts w:cs="Arial"/>
                <w:b/>
                <w:bCs/>
                <w:szCs w:val="24"/>
              </w:rPr>
            </w:pPr>
          </w:p>
          <w:p w14:paraId="110F1675" w14:textId="2A2DE5F7" w:rsidR="00C61F5B" w:rsidRDefault="00C61F5B" w:rsidP="00EA7CBB">
            <w:pPr>
              <w:tabs>
                <w:tab w:val="left" w:pos="4962"/>
                <w:tab w:val="left" w:pos="7655"/>
              </w:tabs>
              <w:ind w:right="45"/>
              <w:rPr>
                <w:rFonts w:cs="Arial"/>
                <w:b/>
                <w:bCs/>
                <w:szCs w:val="24"/>
              </w:rPr>
            </w:pPr>
            <w:r>
              <w:rPr>
                <w:rFonts w:cs="Arial"/>
                <w:b/>
                <w:bCs/>
                <w:szCs w:val="24"/>
              </w:rPr>
              <w:t>1/01</w:t>
            </w:r>
          </w:p>
        </w:tc>
        <w:tc>
          <w:tcPr>
            <w:tcW w:w="9486" w:type="dxa"/>
            <w:gridSpan w:val="3"/>
            <w:shd w:val="clear" w:color="auto" w:fill="auto"/>
          </w:tcPr>
          <w:p w14:paraId="2AC38765" w14:textId="77777777" w:rsidR="003B085B" w:rsidRDefault="003B085B" w:rsidP="008406A9">
            <w:pPr>
              <w:pStyle w:val="Header"/>
              <w:tabs>
                <w:tab w:val="clear" w:pos="4153"/>
                <w:tab w:val="clear" w:pos="8306"/>
              </w:tabs>
              <w:jc w:val="both"/>
              <w:rPr>
                <w:b/>
                <w:bCs/>
              </w:rPr>
            </w:pPr>
          </w:p>
          <w:p w14:paraId="56B3E7CF" w14:textId="7B16FA34" w:rsidR="00C61F5B" w:rsidRDefault="00C61F5B" w:rsidP="008406A9">
            <w:pPr>
              <w:pStyle w:val="Header"/>
              <w:tabs>
                <w:tab w:val="clear" w:pos="4153"/>
                <w:tab w:val="clear" w:pos="8306"/>
              </w:tabs>
              <w:jc w:val="both"/>
              <w:rPr>
                <w:b/>
                <w:bCs/>
              </w:rPr>
            </w:pPr>
            <w:r w:rsidRPr="00A95A2F">
              <w:rPr>
                <w:b/>
                <w:bCs/>
              </w:rPr>
              <w:t>HARROW COUNCIL CIVIC CENTRE CAR PARK A</w:t>
            </w:r>
            <w:r w:rsidR="00C32AF0">
              <w:rPr>
                <w:b/>
                <w:bCs/>
              </w:rPr>
              <w:t>,</w:t>
            </w:r>
            <w:r w:rsidRPr="00A95A2F">
              <w:rPr>
                <w:b/>
                <w:bCs/>
              </w:rPr>
              <w:t xml:space="preserve"> MILTON ROAD AND 9 STATION ROAD.</w:t>
            </w:r>
          </w:p>
          <w:p w14:paraId="3CACBEBE" w14:textId="77777777" w:rsidR="00C61F5B" w:rsidRDefault="00C61F5B" w:rsidP="008406A9">
            <w:pPr>
              <w:pStyle w:val="Header"/>
              <w:tabs>
                <w:tab w:val="clear" w:pos="4153"/>
                <w:tab w:val="clear" w:pos="8306"/>
              </w:tabs>
              <w:jc w:val="both"/>
              <w:rPr>
                <w:rFonts w:cs="Arial"/>
                <w:b/>
                <w:bCs/>
                <w:szCs w:val="24"/>
              </w:rPr>
            </w:pPr>
          </w:p>
          <w:p w14:paraId="114B5281" w14:textId="77777777" w:rsidR="00C61F5B" w:rsidRPr="00C61F5B" w:rsidRDefault="00C61F5B" w:rsidP="00C61F5B">
            <w:pPr>
              <w:jc w:val="both"/>
              <w:rPr>
                <w:rFonts w:cs="Arial"/>
                <w:b/>
                <w:bCs/>
                <w:szCs w:val="24"/>
                <w:u w:val="single"/>
              </w:rPr>
            </w:pPr>
            <w:r w:rsidRPr="00C61F5B">
              <w:rPr>
                <w:rFonts w:cs="Arial"/>
                <w:b/>
                <w:bCs/>
                <w:szCs w:val="24"/>
                <w:u w:val="single"/>
              </w:rPr>
              <w:t>Addendum Item 1:</w:t>
            </w:r>
          </w:p>
          <w:p w14:paraId="11A8DD22" w14:textId="77777777" w:rsidR="00C61F5B" w:rsidRPr="00C61F5B" w:rsidRDefault="00C61F5B" w:rsidP="00C61F5B">
            <w:pPr>
              <w:jc w:val="both"/>
              <w:rPr>
                <w:rFonts w:cs="Arial"/>
                <w:b/>
                <w:bCs/>
                <w:szCs w:val="24"/>
                <w:u w:val="single"/>
              </w:rPr>
            </w:pPr>
          </w:p>
          <w:p w14:paraId="163812A8" w14:textId="77777777" w:rsidR="00C61F5B" w:rsidRPr="00C61F5B" w:rsidRDefault="00C61F5B" w:rsidP="00C61F5B">
            <w:pPr>
              <w:jc w:val="both"/>
              <w:rPr>
                <w:rFonts w:cs="Arial"/>
                <w:szCs w:val="24"/>
                <w:u w:val="single"/>
              </w:rPr>
            </w:pPr>
            <w:r w:rsidRPr="00C61F5B">
              <w:rPr>
                <w:rFonts w:cs="Arial"/>
                <w:szCs w:val="24"/>
                <w:u w:val="single"/>
              </w:rPr>
              <w:t>Heads of Terms</w:t>
            </w:r>
          </w:p>
          <w:p w14:paraId="00307E71" w14:textId="77777777" w:rsidR="00C61F5B" w:rsidRPr="00C61F5B" w:rsidRDefault="00C61F5B" w:rsidP="00C61F5B">
            <w:pPr>
              <w:jc w:val="both"/>
              <w:rPr>
                <w:rFonts w:cs="Arial"/>
                <w:szCs w:val="24"/>
                <w:u w:val="single"/>
              </w:rPr>
            </w:pPr>
          </w:p>
          <w:p w14:paraId="5F6F6C7F" w14:textId="77777777" w:rsidR="00C61F5B" w:rsidRPr="00C61F5B" w:rsidRDefault="00C61F5B" w:rsidP="00C61F5B">
            <w:pPr>
              <w:jc w:val="both"/>
              <w:rPr>
                <w:rFonts w:cs="Arial"/>
                <w:i/>
                <w:iCs/>
                <w:szCs w:val="24"/>
              </w:rPr>
            </w:pPr>
            <w:r w:rsidRPr="00C61F5B">
              <w:rPr>
                <w:rFonts w:cs="Arial"/>
                <w:i/>
                <w:iCs/>
                <w:szCs w:val="24"/>
              </w:rPr>
              <w:t>Affordable Housing</w:t>
            </w:r>
          </w:p>
          <w:p w14:paraId="50A22DDC" w14:textId="77777777" w:rsidR="00C61F5B" w:rsidRPr="00C61F5B" w:rsidRDefault="00C61F5B" w:rsidP="00C61F5B">
            <w:pPr>
              <w:jc w:val="both"/>
              <w:rPr>
                <w:rFonts w:cs="Arial"/>
                <w:szCs w:val="24"/>
                <w:u w:val="single"/>
              </w:rPr>
            </w:pPr>
          </w:p>
          <w:p w14:paraId="78C64475" w14:textId="77777777" w:rsidR="00C61F5B" w:rsidRPr="00C61F5B" w:rsidRDefault="00C61F5B" w:rsidP="00C61F5B">
            <w:pPr>
              <w:numPr>
                <w:ilvl w:val="0"/>
                <w:numId w:val="4"/>
              </w:numPr>
              <w:ind w:hanging="689"/>
              <w:jc w:val="both"/>
              <w:rPr>
                <w:rFonts w:cs="Arial"/>
                <w:szCs w:val="24"/>
              </w:rPr>
            </w:pPr>
            <w:r w:rsidRPr="00C61F5B">
              <w:rPr>
                <w:rFonts w:cs="Arial"/>
                <w:szCs w:val="24"/>
              </w:rPr>
              <w:t xml:space="preserve">To include in brackets after </w:t>
            </w:r>
            <w:r w:rsidRPr="00C61F5B">
              <w:rPr>
                <w:rFonts w:cs="Arial"/>
                <w:i/>
                <w:iCs/>
                <w:szCs w:val="24"/>
              </w:rPr>
              <w:t>‘submitted details’</w:t>
            </w:r>
            <w:r w:rsidRPr="00C61F5B">
              <w:rPr>
                <w:rFonts w:cs="Arial"/>
                <w:szCs w:val="24"/>
              </w:rPr>
              <w:t xml:space="preserve"> (10x LAR townhouses and 29 x S/O flats)</w:t>
            </w:r>
          </w:p>
          <w:p w14:paraId="693D4027" w14:textId="77777777" w:rsidR="00C61F5B" w:rsidRPr="00C61F5B" w:rsidRDefault="00C61F5B" w:rsidP="00C61F5B">
            <w:pPr>
              <w:jc w:val="both"/>
              <w:rPr>
                <w:rFonts w:cs="Arial"/>
                <w:szCs w:val="24"/>
                <w:u w:val="single"/>
              </w:rPr>
            </w:pPr>
          </w:p>
          <w:p w14:paraId="6DD2F78D" w14:textId="77777777" w:rsidR="00C61F5B" w:rsidRPr="00C61F5B" w:rsidRDefault="00C61F5B" w:rsidP="00C61F5B">
            <w:pPr>
              <w:jc w:val="both"/>
              <w:rPr>
                <w:rFonts w:cs="Arial"/>
                <w:i/>
                <w:iCs/>
                <w:szCs w:val="24"/>
              </w:rPr>
            </w:pPr>
            <w:r w:rsidRPr="00C61F5B">
              <w:rPr>
                <w:rFonts w:cs="Arial"/>
                <w:i/>
                <w:iCs/>
                <w:szCs w:val="24"/>
              </w:rPr>
              <w:t>Highways</w:t>
            </w:r>
          </w:p>
          <w:p w14:paraId="516FBED4" w14:textId="77777777" w:rsidR="00C61F5B" w:rsidRPr="00C61F5B" w:rsidRDefault="00C61F5B" w:rsidP="00C61F5B">
            <w:pPr>
              <w:jc w:val="both"/>
              <w:rPr>
                <w:rFonts w:cs="Arial"/>
                <w:i/>
                <w:iCs/>
                <w:szCs w:val="24"/>
              </w:rPr>
            </w:pPr>
          </w:p>
          <w:p w14:paraId="46F8A65A" w14:textId="77777777" w:rsidR="00C61F5B" w:rsidRPr="00C61F5B" w:rsidRDefault="00C61F5B" w:rsidP="00C61F5B">
            <w:pPr>
              <w:jc w:val="both"/>
              <w:rPr>
                <w:rFonts w:cs="Arial"/>
                <w:szCs w:val="24"/>
              </w:rPr>
            </w:pPr>
            <w:r w:rsidRPr="00C61F5B">
              <w:rPr>
                <w:rFonts w:cs="Arial"/>
                <w:szCs w:val="24"/>
              </w:rPr>
              <w:t>Replace (a) with:</w:t>
            </w:r>
          </w:p>
          <w:p w14:paraId="4C12B4A5" w14:textId="77777777" w:rsidR="00C61F5B" w:rsidRPr="00C61F5B" w:rsidRDefault="00C61F5B" w:rsidP="00C61F5B">
            <w:pPr>
              <w:jc w:val="both"/>
              <w:rPr>
                <w:rFonts w:cs="Arial"/>
                <w:szCs w:val="24"/>
              </w:rPr>
            </w:pPr>
          </w:p>
          <w:p w14:paraId="04A8F1A4" w14:textId="77777777" w:rsidR="00C61F5B" w:rsidRPr="00C61F5B" w:rsidRDefault="00C61F5B" w:rsidP="00C61F5B">
            <w:pPr>
              <w:numPr>
                <w:ilvl w:val="0"/>
                <w:numId w:val="3"/>
              </w:numPr>
              <w:jc w:val="both"/>
              <w:rPr>
                <w:rFonts w:cs="Arial"/>
              </w:rPr>
            </w:pPr>
            <w:r w:rsidRPr="00C61F5B">
              <w:rPr>
                <w:rFonts w:cs="Arial"/>
              </w:rPr>
              <w:t xml:space="preserve">Parking Permit Restrictions – The development to be “resident permit restricted” in accordance with section 16 of the GLC (Gen Powers) Act 1974 and the developer to ensure that 1) all marketing/advertising material makes reference to this fact and 2) all agreements contain a covenant to the effect that future occupiers and tenants (other than those who are registered disabled) will not be entitled to apply for residents parking permit or a visitor permit. </w:t>
            </w:r>
          </w:p>
          <w:p w14:paraId="604ACFEE" w14:textId="77777777" w:rsidR="00C61F5B" w:rsidRPr="00C61F5B" w:rsidRDefault="00C61F5B" w:rsidP="00C61F5B">
            <w:pPr>
              <w:numPr>
                <w:ilvl w:val="0"/>
                <w:numId w:val="3"/>
              </w:numPr>
              <w:jc w:val="both"/>
              <w:rPr>
                <w:rFonts w:cs="Arial"/>
              </w:rPr>
            </w:pPr>
            <w:r w:rsidRPr="00C61F5B">
              <w:rPr>
                <w:rFonts w:cs="Arial"/>
              </w:rPr>
              <w:t xml:space="preserve">A contribution in accordance with the adopted fees and charges is required to amend the Traffic Management Order and a monitoring fee. </w:t>
            </w:r>
          </w:p>
          <w:p w14:paraId="3117D5DF" w14:textId="77777777" w:rsidR="00C61F5B" w:rsidRPr="00C61F5B" w:rsidRDefault="00C61F5B" w:rsidP="00C61F5B">
            <w:pPr>
              <w:jc w:val="both"/>
              <w:rPr>
                <w:rFonts w:cs="Arial"/>
                <w:b/>
                <w:bCs/>
                <w:szCs w:val="24"/>
                <w:u w:val="single"/>
              </w:rPr>
            </w:pPr>
          </w:p>
          <w:p w14:paraId="7A74A1E0" w14:textId="77777777" w:rsidR="00C61F5B" w:rsidRPr="00C61F5B" w:rsidRDefault="00C61F5B" w:rsidP="00C61F5B">
            <w:pPr>
              <w:ind w:left="20"/>
              <w:rPr>
                <w:rFonts w:ascii="Calibri" w:hAnsi="Calibri"/>
                <w:color w:val="000000"/>
                <w:sz w:val="22"/>
              </w:rPr>
            </w:pPr>
            <w:r w:rsidRPr="00C61F5B">
              <w:rPr>
                <w:rFonts w:cs="Arial"/>
                <w:szCs w:val="24"/>
              </w:rPr>
              <w:t xml:space="preserve">Include: </w:t>
            </w:r>
            <w:r w:rsidRPr="00C61F5B">
              <w:rPr>
                <w:i/>
                <w:iCs/>
                <w:color w:val="000000"/>
              </w:rPr>
              <w:t>Legal Fees: Payment of Harrow Council’s reasonable costs in the preparation of the legal agreement.</w:t>
            </w:r>
          </w:p>
          <w:p w14:paraId="677314B8" w14:textId="77777777" w:rsidR="00C61F5B" w:rsidRPr="00C61F5B" w:rsidRDefault="00C61F5B" w:rsidP="00C61F5B">
            <w:pPr>
              <w:jc w:val="both"/>
              <w:rPr>
                <w:rFonts w:cs="Arial"/>
                <w:b/>
                <w:bCs/>
                <w:szCs w:val="24"/>
                <w:u w:val="single"/>
              </w:rPr>
            </w:pPr>
          </w:p>
          <w:p w14:paraId="44EECAE8" w14:textId="77777777" w:rsidR="00C61F5B" w:rsidRPr="00C61F5B" w:rsidRDefault="00C61F5B" w:rsidP="00C61F5B">
            <w:pPr>
              <w:jc w:val="both"/>
              <w:rPr>
                <w:rFonts w:cs="Arial"/>
                <w:b/>
                <w:bCs/>
                <w:szCs w:val="24"/>
                <w:u w:val="single"/>
              </w:rPr>
            </w:pPr>
          </w:p>
          <w:p w14:paraId="17EB0DFC" w14:textId="77777777" w:rsidR="00C61F5B" w:rsidRPr="00C61F5B" w:rsidRDefault="00C61F5B" w:rsidP="00C61F5B">
            <w:pPr>
              <w:jc w:val="both"/>
              <w:rPr>
                <w:rFonts w:cs="Arial"/>
                <w:b/>
                <w:bCs/>
                <w:szCs w:val="24"/>
                <w:u w:val="single"/>
              </w:rPr>
            </w:pPr>
            <w:r w:rsidRPr="00C61F5B">
              <w:rPr>
                <w:rFonts w:cs="Arial"/>
                <w:b/>
                <w:bCs/>
                <w:szCs w:val="24"/>
                <w:u w:val="single"/>
              </w:rPr>
              <w:t>Addendum Item 2:</w:t>
            </w:r>
          </w:p>
          <w:p w14:paraId="2F843F02" w14:textId="77777777" w:rsidR="00C61F5B" w:rsidRPr="00C61F5B" w:rsidRDefault="00C61F5B" w:rsidP="00C61F5B">
            <w:pPr>
              <w:jc w:val="both"/>
              <w:rPr>
                <w:rFonts w:cs="Arial"/>
                <w:b/>
                <w:bCs/>
                <w:szCs w:val="24"/>
                <w:u w:val="single"/>
              </w:rPr>
            </w:pPr>
          </w:p>
          <w:p w14:paraId="7F720DFC" w14:textId="77777777" w:rsidR="00C61F5B" w:rsidRPr="00C61F5B" w:rsidRDefault="00C61F5B" w:rsidP="00C61F5B">
            <w:pPr>
              <w:rPr>
                <w:rFonts w:cs="Arial"/>
                <w:b/>
                <w:bCs/>
                <w:szCs w:val="24"/>
                <w:u w:val="single"/>
              </w:rPr>
            </w:pPr>
            <w:r w:rsidRPr="00C61F5B">
              <w:rPr>
                <w:rFonts w:cs="Arial"/>
                <w:szCs w:val="24"/>
              </w:rPr>
              <w:t>There is no planning history for the application site however prior approval was not required for the demolition of the Civic 9 building fronting Station Road (P/4794/21/PRIOR).</w:t>
            </w:r>
          </w:p>
          <w:p w14:paraId="558F69B7" w14:textId="3453F782" w:rsidR="00C61F5B" w:rsidRDefault="00C61F5B" w:rsidP="00C61F5B">
            <w:pPr>
              <w:jc w:val="both"/>
              <w:rPr>
                <w:rFonts w:cs="Arial"/>
                <w:b/>
                <w:bCs/>
                <w:szCs w:val="24"/>
                <w:u w:val="single"/>
              </w:rPr>
            </w:pPr>
          </w:p>
          <w:p w14:paraId="144AF7DE" w14:textId="1B13B79F" w:rsidR="003B085B" w:rsidRDefault="003B085B" w:rsidP="00C61F5B">
            <w:pPr>
              <w:jc w:val="both"/>
              <w:rPr>
                <w:rFonts w:cs="Arial"/>
                <w:b/>
                <w:bCs/>
                <w:szCs w:val="24"/>
                <w:u w:val="single"/>
              </w:rPr>
            </w:pPr>
          </w:p>
          <w:p w14:paraId="79D78458" w14:textId="77777777" w:rsidR="00C61F5B" w:rsidRPr="00C61F5B" w:rsidRDefault="00C61F5B" w:rsidP="00C61F5B">
            <w:pPr>
              <w:jc w:val="both"/>
              <w:rPr>
                <w:rFonts w:cs="Arial"/>
                <w:b/>
                <w:bCs/>
                <w:szCs w:val="24"/>
                <w:u w:val="single"/>
              </w:rPr>
            </w:pPr>
            <w:r w:rsidRPr="00C61F5B">
              <w:rPr>
                <w:rFonts w:cs="Arial"/>
                <w:b/>
                <w:bCs/>
                <w:szCs w:val="24"/>
                <w:u w:val="single"/>
              </w:rPr>
              <w:t>Addendum Item 3:</w:t>
            </w:r>
          </w:p>
          <w:p w14:paraId="5BFD0F44" w14:textId="77777777" w:rsidR="00C61F5B" w:rsidRPr="00C61F5B" w:rsidRDefault="00C61F5B" w:rsidP="00C61F5B">
            <w:pPr>
              <w:jc w:val="both"/>
              <w:rPr>
                <w:rFonts w:cs="Arial"/>
                <w:b/>
                <w:bCs/>
                <w:szCs w:val="24"/>
                <w:u w:val="single"/>
              </w:rPr>
            </w:pPr>
          </w:p>
          <w:p w14:paraId="1D6107EE" w14:textId="1936E8A9" w:rsidR="00C61F5B" w:rsidRDefault="00C61F5B" w:rsidP="00C61F5B">
            <w:pPr>
              <w:jc w:val="both"/>
              <w:rPr>
                <w:rFonts w:cs="Arial"/>
                <w:szCs w:val="24"/>
              </w:rPr>
            </w:pPr>
            <w:r w:rsidRPr="00C61F5B">
              <w:rPr>
                <w:rFonts w:cs="Arial"/>
                <w:szCs w:val="24"/>
              </w:rPr>
              <w:t xml:space="preserve">Paragraph 4.3, Impact to Residential Amenity, replace the text </w:t>
            </w:r>
            <w:r w:rsidRPr="00C61F5B">
              <w:t>“</w:t>
            </w:r>
            <w:r w:rsidRPr="00C61F5B">
              <w:rPr>
                <w:i/>
                <w:iCs/>
              </w:rPr>
              <w:t xml:space="preserve">Unacceptable impact on amenities of properties on Pinner Road and The Gardens” </w:t>
            </w:r>
            <w:r w:rsidRPr="00C61F5B">
              <w:rPr>
                <w:rFonts w:cs="Arial"/>
                <w:szCs w:val="24"/>
              </w:rPr>
              <w:t>with the following:</w:t>
            </w:r>
          </w:p>
          <w:p w14:paraId="6A8856BC" w14:textId="77777777" w:rsidR="005A3ACA" w:rsidRPr="00C61F5B" w:rsidRDefault="005A3ACA" w:rsidP="00C61F5B">
            <w:pPr>
              <w:jc w:val="both"/>
              <w:rPr>
                <w:rFonts w:cs="Arial"/>
                <w:szCs w:val="24"/>
              </w:rPr>
            </w:pPr>
          </w:p>
          <w:p w14:paraId="2E79E7E4" w14:textId="77777777" w:rsidR="00C61F5B" w:rsidRPr="00C61F5B" w:rsidRDefault="00C61F5B" w:rsidP="00C61F5B">
            <w:pPr>
              <w:numPr>
                <w:ilvl w:val="0"/>
                <w:numId w:val="5"/>
              </w:numPr>
              <w:jc w:val="both"/>
              <w:rPr>
                <w:rFonts w:cs="Arial"/>
                <w:szCs w:val="24"/>
              </w:rPr>
            </w:pPr>
            <w:r w:rsidRPr="00C61F5B">
              <w:rPr>
                <w:rFonts w:cs="Arial"/>
                <w:szCs w:val="24"/>
              </w:rPr>
              <w:t xml:space="preserve">Loss of views of the mosque. </w:t>
            </w:r>
          </w:p>
          <w:p w14:paraId="15C1D2AC" w14:textId="77777777" w:rsidR="00C61F5B" w:rsidRPr="00C61F5B" w:rsidRDefault="00C61F5B" w:rsidP="00C61F5B">
            <w:pPr>
              <w:jc w:val="both"/>
              <w:rPr>
                <w:rFonts w:cs="Arial"/>
                <w:b/>
                <w:bCs/>
                <w:szCs w:val="24"/>
                <w:u w:val="single"/>
              </w:rPr>
            </w:pPr>
          </w:p>
          <w:p w14:paraId="47BBD6D8" w14:textId="77777777" w:rsidR="00C61F5B" w:rsidRPr="00C61F5B" w:rsidRDefault="00C61F5B" w:rsidP="00C61F5B">
            <w:pPr>
              <w:jc w:val="both"/>
              <w:rPr>
                <w:rFonts w:cs="Arial"/>
                <w:b/>
                <w:bCs/>
                <w:szCs w:val="24"/>
                <w:u w:val="single"/>
              </w:rPr>
            </w:pPr>
            <w:r w:rsidRPr="00C61F5B">
              <w:rPr>
                <w:rFonts w:cs="Arial"/>
                <w:b/>
                <w:bCs/>
                <w:szCs w:val="24"/>
                <w:u w:val="single"/>
              </w:rPr>
              <w:t>Addendum Item 4:</w:t>
            </w:r>
          </w:p>
          <w:p w14:paraId="0C2DE574" w14:textId="77777777" w:rsidR="00C61F5B" w:rsidRPr="00C61F5B" w:rsidRDefault="00C61F5B" w:rsidP="00C61F5B">
            <w:pPr>
              <w:jc w:val="both"/>
              <w:rPr>
                <w:rFonts w:cs="Arial"/>
                <w:b/>
                <w:bCs/>
                <w:szCs w:val="24"/>
                <w:u w:val="single"/>
              </w:rPr>
            </w:pPr>
          </w:p>
          <w:p w14:paraId="57C84378" w14:textId="77777777" w:rsidR="00C61F5B" w:rsidRPr="00C61F5B" w:rsidRDefault="00C61F5B" w:rsidP="00C61F5B">
            <w:pPr>
              <w:jc w:val="both"/>
              <w:rPr>
                <w:rFonts w:cs="Arial"/>
                <w:szCs w:val="24"/>
              </w:rPr>
            </w:pPr>
            <w:r w:rsidRPr="00C61F5B">
              <w:rPr>
                <w:rFonts w:cs="Arial"/>
                <w:szCs w:val="24"/>
              </w:rPr>
              <w:t>Amend condition 2 as follows:</w:t>
            </w:r>
          </w:p>
          <w:p w14:paraId="38D13281" w14:textId="77777777" w:rsidR="00C61F5B" w:rsidRPr="00C61F5B" w:rsidRDefault="00C61F5B" w:rsidP="00C61F5B">
            <w:pPr>
              <w:jc w:val="both"/>
              <w:rPr>
                <w:rFonts w:cs="Arial"/>
                <w:szCs w:val="24"/>
              </w:rPr>
            </w:pPr>
          </w:p>
          <w:p w14:paraId="4C8B4585" w14:textId="77777777" w:rsidR="00C61F5B" w:rsidRPr="00C61F5B" w:rsidRDefault="00C61F5B" w:rsidP="00C61F5B">
            <w:pPr>
              <w:jc w:val="both"/>
              <w:rPr>
                <w:rFonts w:cs="Arial"/>
                <w:i/>
                <w:iCs/>
                <w:color w:val="000000"/>
                <w:lang w:val="en-US"/>
              </w:rPr>
            </w:pPr>
            <w:r w:rsidRPr="00C61F5B">
              <w:rPr>
                <w:rFonts w:cs="Arial"/>
                <w:i/>
                <w:iCs/>
                <w:color w:val="000000"/>
                <w:lang w:val="en-US"/>
              </w:rPr>
              <w:t xml:space="preserve">02122 Rev: P02; 02123 Rev: P02; </w:t>
            </w:r>
            <w:proofErr w:type="gramStart"/>
            <w:r w:rsidRPr="00C61F5B">
              <w:rPr>
                <w:rFonts w:cs="Arial"/>
                <w:i/>
                <w:iCs/>
                <w:color w:val="000000"/>
                <w:lang w:val="en-US"/>
              </w:rPr>
              <w:t xml:space="preserve">-  </w:t>
            </w:r>
            <w:r w:rsidRPr="00C61F5B">
              <w:rPr>
                <w:rFonts w:cs="Arial"/>
                <w:color w:val="000000"/>
                <w:lang w:val="en-US"/>
              </w:rPr>
              <w:t>change</w:t>
            </w:r>
            <w:proofErr w:type="gramEnd"/>
            <w:r w:rsidRPr="00C61F5B">
              <w:rPr>
                <w:rFonts w:cs="Arial"/>
                <w:color w:val="000000"/>
                <w:lang w:val="en-US"/>
              </w:rPr>
              <w:t xml:space="preserve"> P02 to P03</w:t>
            </w:r>
          </w:p>
          <w:p w14:paraId="15F6E42C" w14:textId="77777777" w:rsidR="00C61F5B" w:rsidRPr="00C61F5B" w:rsidRDefault="00C61F5B" w:rsidP="00C61F5B">
            <w:pPr>
              <w:jc w:val="both"/>
              <w:rPr>
                <w:rFonts w:cs="Arial"/>
                <w:color w:val="000000"/>
                <w:lang w:val="en-US"/>
              </w:rPr>
            </w:pPr>
            <w:r w:rsidRPr="00C61F5B">
              <w:rPr>
                <w:rFonts w:cs="Arial"/>
                <w:i/>
                <w:iCs/>
                <w:color w:val="000000"/>
                <w:lang w:val="en-US"/>
              </w:rPr>
              <w:t xml:space="preserve">02212 Rev: P03; 02213 Rev: P03; </w:t>
            </w:r>
            <w:proofErr w:type="gramStart"/>
            <w:r w:rsidRPr="00C61F5B">
              <w:rPr>
                <w:rFonts w:cs="Arial"/>
                <w:i/>
                <w:iCs/>
                <w:color w:val="000000"/>
                <w:lang w:val="en-US"/>
              </w:rPr>
              <w:t xml:space="preserve">-  </w:t>
            </w:r>
            <w:r w:rsidRPr="00C61F5B">
              <w:rPr>
                <w:rFonts w:cs="Arial"/>
                <w:color w:val="000000"/>
                <w:lang w:val="en-US"/>
              </w:rPr>
              <w:t>change</w:t>
            </w:r>
            <w:proofErr w:type="gramEnd"/>
            <w:r w:rsidRPr="00C61F5B">
              <w:rPr>
                <w:rFonts w:cs="Arial"/>
                <w:color w:val="000000"/>
                <w:lang w:val="en-US"/>
              </w:rPr>
              <w:t xml:space="preserve"> P03 to P02 </w:t>
            </w:r>
          </w:p>
          <w:p w14:paraId="3B9C3231" w14:textId="77777777" w:rsidR="00C61F5B" w:rsidRPr="00C61F5B" w:rsidRDefault="00C61F5B" w:rsidP="00C61F5B">
            <w:pPr>
              <w:jc w:val="both"/>
              <w:rPr>
                <w:rFonts w:cs="Arial"/>
                <w:i/>
                <w:iCs/>
                <w:szCs w:val="24"/>
              </w:rPr>
            </w:pPr>
          </w:p>
          <w:p w14:paraId="723E6334" w14:textId="77777777" w:rsidR="00C61F5B" w:rsidRPr="00C61F5B" w:rsidRDefault="00C61F5B" w:rsidP="00C61F5B">
            <w:pPr>
              <w:jc w:val="both"/>
              <w:rPr>
                <w:rFonts w:cs="Arial"/>
                <w:b/>
                <w:bCs/>
                <w:szCs w:val="24"/>
                <w:u w:val="single"/>
              </w:rPr>
            </w:pPr>
            <w:r w:rsidRPr="00C61F5B">
              <w:rPr>
                <w:rFonts w:cs="Arial"/>
                <w:b/>
                <w:bCs/>
                <w:szCs w:val="24"/>
                <w:u w:val="single"/>
              </w:rPr>
              <w:t>Addendum Item 5:</w:t>
            </w:r>
          </w:p>
          <w:p w14:paraId="5E70C730" w14:textId="77777777" w:rsidR="00C61F5B" w:rsidRPr="00C61F5B" w:rsidRDefault="00C61F5B" w:rsidP="00C61F5B">
            <w:pPr>
              <w:jc w:val="both"/>
              <w:rPr>
                <w:rFonts w:cs="Arial"/>
                <w:b/>
                <w:bCs/>
                <w:szCs w:val="24"/>
                <w:u w:val="single"/>
              </w:rPr>
            </w:pPr>
          </w:p>
          <w:p w14:paraId="27965BAC" w14:textId="77777777" w:rsidR="00C61F5B" w:rsidRPr="00C61F5B" w:rsidRDefault="00C61F5B" w:rsidP="00C61F5B">
            <w:pPr>
              <w:jc w:val="both"/>
              <w:rPr>
                <w:rFonts w:cs="Arial"/>
                <w:szCs w:val="24"/>
              </w:rPr>
            </w:pPr>
            <w:r w:rsidRPr="00C61F5B">
              <w:rPr>
                <w:rFonts w:cs="Arial"/>
                <w:szCs w:val="24"/>
              </w:rPr>
              <w:t>Amend conditions 32, 36 and 37 as follows:</w:t>
            </w:r>
          </w:p>
          <w:p w14:paraId="4E47AA27" w14:textId="77777777" w:rsidR="00C61F5B" w:rsidRPr="00C61F5B" w:rsidRDefault="00C61F5B" w:rsidP="00C61F5B">
            <w:pPr>
              <w:jc w:val="both"/>
              <w:rPr>
                <w:rFonts w:cs="Arial"/>
                <w:szCs w:val="24"/>
              </w:rPr>
            </w:pPr>
          </w:p>
          <w:p w14:paraId="2E577DC0" w14:textId="77777777" w:rsidR="00C61F5B" w:rsidRPr="00C61F5B" w:rsidRDefault="00C61F5B" w:rsidP="00C61F5B">
            <w:pPr>
              <w:jc w:val="both"/>
              <w:rPr>
                <w:rFonts w:cs="Arial"/>
                <w:szCs w:val="24"/>
              </w:rPr>
            </w:pPr>
            <w:r w:rsidRPr="00C61F5B">
              <w:rPr>
                <w:rFonts w:cs="Arial"/>
                <w:i/>
                <w:iCs/>
                <w:szCs w:val="24"/>
              </w:rPr>
              <w:t>‘</w:t>
            </w:r>
            <w:proofErr w:type="gramStart"/>
            <w:r w:rsidRPr="00C61F5B">
              <w:rPr>
                <w:rFonts w:cs="Arial"/>
                <w:i/>
                <w:iCs/>
                <w:szCs w:val="24"/>
              </w:rPr>
              <w:t>or</w:t>
            </w:r>
            <w:proofErr w:type="gramEnd"/>
            <w:r w:rsidRPr="00C61F5B">
              <w:rPr>
                <w:rFonts w:cs="Arial"/>
                <w:i/>
                <w:iCs/>
                <w:szCs w:val="24"/>
              </w:rPr>
              <w:t xml:space="preserve"> F1’ </w:t>
            </w:r>
            <w:r w:rsidRPr="00C61F5B">
              <w:rPr>
                <w:rFonts w:cs="Arial"/>
                <w:szCs w:val="24"/>
              </w:rPr>
              <w:t>to or F2.</w:t>
            </w:r>
          </w:p>
          <w:p w14:paraId="6D7FF195" w14:textId="77777777" w:rsidR="00C61F5B" w:rsidRPr="00C61F5B" w:rsidRDefault="00C61F5B" w:rsidP="00C61F5B">
            <w:pPr>
              <w:jc w:val="both"/>
              <w:rPr>
                <w:rFonts w:cs="Arial"/>
                <w:i/>
                <w:iCs/>
                <w:szCs w:val="24"/>
              </w:rPr>
            </w:pPr>
          </w:p>
          <w:p w14:paraId="6063E23B" w14:textId="77777777" w:rsidR="00C61F5B" w:rsidRPr="00C61F5B" w:rsidRDefault="00C61F5B" w:rsidP="00C61F5B">
            <w:pPr>
              <w:jc w:val="both"/>
              <w:rPr>
                <w:rFonts w:cs="Arial"/>
                <w:b/>
                <w:bCs/>
                <w:szCs w:val="24"/>
                <w:u w:val="single"/>
              </w:rPr>
            </w:pPr>
            <w:r w:rsidRPr="00C61F5B">
              <w:rPr>
                <w:rFonts w:cs="Arial"/>
                <w:b/>
                <w:bCs/>
                <w:szCs w:val="24"/>
                <w:u w:val="single"/>
              </w:rPr>
              <w:t>Addendum Item 6:</w:t>
            </w:r>
          </w:p>
          <w:p w14:paraId="72EACA12" w14:textId="77777777" w:rsidR="00C61F5B" w:rsidRPr="00C61F5B" w:rsidRDefault="00C61F5B" w:rsidP="00C61F5B">
            <w:pPr>
              <w:jc w:val="both"/>
              <w:rPr>
                <w:rFonts w:cs="Arial"/>
                <w:szCs w:val="24"/>
                <w:u w:val="single"/>
              </w:rPr>
            </w:pPr>
          </w:p>
          <w:p w14:paraId="34E79BE2" w14:textId="77777777" w:rsidR="00C61F5B" w:rsidRDefault="00C61F5B" w:rsidP="00C61F5B">
            <w:pPr>
              <w:pStyle w:val="Header"/>
              <w:tabs>
                <w:tab w:val="clear" w:pos="4153"/>
                <w:tab w:val="clear" w:pos="8306"/>
              </w:tabs>
              <w:jc w:val="both"/>
              <w:rPr>
                <w:rFonts w:cs="Arial"/>
                <w:szCs w:val="24"/>
              </w:rPr>
            </w:pPr>
            <w:r w:rsidRPr="00C61F5B">
              <w:rPr>
                <w:rFonts w:cs="Arial"/>
                <w:szCs w:val="24"/>
              </w:rPr>
              <w:t>Delete condition 22, it is a duplicate of 24.</w:t>
            </w:r>
          </w:p>
          <w:p w14:paraId="0ADD4B4B" w14:textId="61A5E8FA" w:rsidR="003B085B" w:rsidRDefault="003B085B" w:rsidP="00C61F5B">
            <w:pPr>
              <w:pStyle w:val="Header"/>
              <w:tabs>
                <w:tab w:val="clear" w:pos="4153"/>
                <w:tab w:val="clear" w:pos="8306"/>
              </w:tabs>
              <w:jc w:val="both"/>
              <w:rPr>
                <w:rFonts w:cs="Arial"/>
                <w:b/>
                <w:bCs/>
                <w:szCs w:val="24"/>
              </w:rPr>
            </w:pPr>
          </w:p>
        </w:tc>
      </w:tr>
      <w:tr w:rsidR="00214248" w:rsidRPr="00F8524A" w14:paraId="23B7E45A" w14:textId="77777777" w:rsidTr="00686558">
        <w:tc>
          <w:tcPr>
            <w:tcW w:w="828" w:type="dxa"/>
          </w:tcPr>
          <w:p w14:paraId="3A36C164" w14:textId="77777777" w:rsidR="003B085B" w:rsidRDefault="003B085B" w:rsidP="00EA7CBB">
            <w:pPr>
              <w:tabs>
                <w:tab w:val="left" w:pos="4962"/>
                <w:tab w:val="left" w:pos="7655"/>
              </w:tabs>
              <w:ind w:right="45"/>
              <w:rPr>
                <w:rFonts w:cs="Arial"/>
                <w:b/>
                <w:bCs/>
                <w:szCs w:val="24"/>
              </w:rPr>
            </w:pPr>
          </w:p>
          <w:p w14:paraId="6143A727" w14:textId="047FE9BE" w:rsidR="00214248" w:rsidRPr="00F8524A" w:rsidRDefault="00C875AB" w:rsidP="00EA7CBB">
            <w:pPr>
              <w:tabs>
                <w:tab w:val="left" w:pos="4962"/>
                <w:tab w:val="left" w:pos="7655"/>
              </w:tabs>
              <w:ind w:right="45"/>
              <w:rPr>
                <w:rFonts w:cs="Arial"/>
                <w:b/>
                <w:bCs/>
                <w:szCs w:val="24"/>
              </w:rPr>
            </w:pPr>
            <w:r>
              <w:rPr>
                <w:rFonts w:cs="Arial"/>
                <w:b/>
                <w:bCs/>
                <w:szCs w:val="24"/>
              </w:rPr>
              <w:t>2/03</w:t>
            </w:r>
          </w:p>
        </w:tc>
        <w:tc>
          <w:tcPr>
            <w:tcW w:w="9486" w:type="dxa"/>
            <w:gridSpan w:val="3"/>
            <w:shd w:val="clear" w:color="auto" w:fill="auto"/>
          </w:tcPr>
          <w:p w14:paraId="3BA0022A" w14:textId="77777777" w:rsidR="003B085B" w:rsidRDefault="003B085B" w:rsidP="008406A9">
            <w:pPr>
              <w:pStyle w:val="Header"/>
              <w:tabs>
                <w:tab w:val="clear" w:pos="4153"/>
                <w:tab w:val="clear" w:pos="8306"/>
              </w:tabs>
              <w:jc w:val="both"/>
              <w:rPr>
                <w:rFonts w:cs="Arial"/>
                <w:b/>
                <w:bCs/>
                <w:szCs w:val="24"/>
              </w:rPr>
            </w:pPr>
          </w:p>
          <w:p w14:paraId="1649D077" w14:textId="0AB778C0" w:rsidR="00214248" w:rsidRDefault="00C875AB" w:rsidP="008406A9">
            <w:pPr>
              <w:pStyle w:val="Header"/>
              <w:tabs>
                <w:tab w:val="clear" w:pos="4153"/>
                <w:tab w:val="clear" w:pos="8306"/>
              </w:tabs>
              <w:jc w:val="both"/>
              <w:rPr>
                <w:rFonts w:cs="Arial"/>
                <w:b/>
                <w:bCs/>
                <w:szCs w:val="24"/>
              </w:rPr>
            </w:pPr>
            <w:r>
              <w:rPr>
                <w:rFonts w:cs="Arial"/>
                <w:b/>
                <w:bCs/>
                <w:szCs w:val="24"/>
              </w:rPr>
              <w:t>20 Manor Road</w:t>
            </w:r>
          </w:p>
          <w:p w14:paraId="2D5AF943" w14:textId="77777777" w:rsidR="00C875AB" w:rsidRDefault="00C875AB" w:rsidP="008406A9">
            <w:pPr>
              <w:pStyle w:val="Header"/>
              <w:tabs>
                <w:tab w:val="clear" w:pos="4153"/>
                <w:tab w:val="clear" w:pos="8306"/>
              </w:tabs>
              <w:jc w:val="both"/>
              <w:rPr>
                <w:rFonts w:cs="Arial"/>
                <w:b/>
                <w:bCs/>
                <w:szCs w:val="24"/>
              </w:rPr>
            </w:pPr>
          </w:p>
          <w:p w14:paraId="0A763DEF" w14:textId="77777777" w:rsidR="00C875AB" w:rsidRPr="00C875AB" w:rsidRDefault="00C875AB" w:rsidP="00C875AB">
            <w:pPr>
              <w:jc w:val="both"/>
              <w:rPr>
                <w:rFonts w:cs="Arial"/>
                <w:b/>
                <w:bCs/>
                <w:szCs w:val="24"/>
                <w:u w:val="single"/>
              </w:rPr>
            </w:pPr>
            <w:r w:rsidRPr="00C875AB">
              <w:rPr>
                <w:rFonts w:cs="Arial"/>
                <w:b/>
                <w:bCs/>
                <w:szCs w:val="24"/>
                <w:u w:val="single"/>
              </w:rPr>
              <w:t>Addendum Item 1:</w:t>
            </w:r>
          </w:p>
          <w:p w14:paraId="7532BDC8" w14:textId="77777777" w:rsidR="00C875AB" w:rsidRPr="00C875AB" w:rsidRDefault="00C875AB" w:rsidP="00C875AB">
            <w:pPr>
              <w:jc w:val="both"/>
              <w:rPr>
                <w:rFonts w:cs="Arial"/>
                <w:b/>
                <w:bCs/>
                <w:szCs w:val="24"/>
                <w:u w:val="single"/>
              </w:rPr>
            </w:pPr>
          </w:p>
          <w:p w14:paraId="36A79832" w14:textId="77777777" w:rsidR="00C875AB" w:rsidRPr="00C875AB" w:rsidRDefault="00C875AB" w:rsidP="00C875AB">
            <w:pPr>
              <w:jc w:val="both"/>
              <w:rPr>
                <w:rFonts w:cs="Arial"/>
                <w:szCs w:val="24"/>
              </w:rPr>
            </w:pPr>
            <w:r w:rsidRPr="00C875AB">
              <w:rPr>
                <w:rFonts w:cs="Arial"/>
                <w:szCs w:val="24"/>
              </w:rPr>
              <w:t xml:space="preserve">Amend paragraph 2.2 as follows: </w:t>
            </w:r>
          </w:p>
          <w:p w14:paraId="5686776D" w14:textId="77777777" w:rsidR="00C875AB" w:rsidRPr="00C875AB" w:rsidRDefault="00C875AB" w:rsidP="00C875AB">
            <w:pPr>
              <w:jc w:val="both"/>
              <w:rPr>
                <w:rFonts w:cs="Arial"/>
                <w:szCs w:val="24"/>
              </w:rPr>
            </w:pPr>
          </w:p>
          <w:p w14:paraId="7FA07273" w14:textId="77777777" w:rsidR="00C875AB" w:rsidRPr="00C875AB" w:rsidRDefault="00C875AB" w:rsidP="00C875AB">
            <w:pPr>
              <w:jc w:val="both"/>
              <w:rPr>
                <w:rFonts w:cs="Arial"/>
                <w:i/>
                <w:iCs/>
                <w:szCs w:val="24"/>
              </w:rPr>
            </w:pPr>
            <w:r w:rsidRPr="00C875AB">
              <w:rPr>
                <w:rFonts w:cs="Arial"/>
                <w:i/>
                <w:iCs/>
                <w:szCs w:val="24"/>
              </w:rPr>
              <w:t xml:space="preserve">2.2. The proposal would follow the front building line of </w:t>
            </w:r>
            <w:r w:rsidRPr="00C875AB">
              <w:rPr>
                <w:rFonts w:cs="Arial"/>
                <w:i/>
                <w:iCs/>
                <w:strike/>
                <w:szCs w:val="24"/>
              </w:rPr>
              <w:t>No.18</w:t>
            </w:r>
            <w:r w:rsidRPr="00C875AB">
              <w:rPr>
                <w:rFonts w:cs="Arial"/>
                <w:i/>
                <w:iCs/>
                <w:szCs w:val="24"/>
              </w:rPr>
              <w:t xml:space="preserve"> No.22 and extend approximately 2.2m to the rear of that neighbouring property at the boundary, and approximately 3.9m to the rear of </w:t>
            </w:r>
            <w:r w:rsidRPr="00C875AB">
              <w:rPr>
                <w:rFonts w:cs="Arial"/>
                <w:i/>
                <w:iCs/>
                <w:strike/>
                <w:szCs w:val="24"/>
              </w:rPr>
              <w:t>No.20</w:t>
            </w:r>
            <w:r w:rsidRPr="00C875AB">
              <w:rPr>
                <w:rFonts w:cs="Arial"/>
                <w:i/>
                <w:iCs/>
                <w:szCs w:val="24"/>
              </w:rPr>
              <w:t xml:space="preserve"> No.18. The design also includes a further central projecting element at the rear, which is set away from the side boundaries.</w:t>
            </w:r>
          </w:p>
          <w:p w14:paraId="4953AE85" w14:textId="77777777" w:rsidR="00C875AB" w:rsidRPr="00C875AB" w:rsidRDefault="00C875AB" w:rsidP="00C875AB">
            <w:pPr>
              <w:jc w:val="both"/>
              <w:rPr>
                <w:rFonts w:cs="Arial"/>
                <w:i/>
                <w:iCs/>
                <w:szCs w:val="24"/>
              </w:rPr>
            </w:pPr>
          </w:p>
          <w:p w14:paraId="2A5B1130" w14:textId="77777777" w:rsidR="00C875AB" w:rsidRPr="00C875AB" w:rsidRDefault="00C875AB" w:rsidP="00C875AB">
            <w:pPr>
              <w:jc w:val="both"/>
              <w:rPr>
                <w:rFonts w:cs="Arial"/>
                <w:b/>
                <w:bCs/>
                <w:szCs w:val="24"/>
                <w:u w:val="single"/>
              </w:rPr>
            </w:pPr>
            <w:r w:rsidRPr="00C875AB">
              <w:rPr>
                <w:rFonts w:cs="Arial"/>
                <w:b/>
                <w:bCs/>
                <w:szCs w:val="24"/>
                <w:u w:val="single"/>
              </w:rPr>
              <w:t>Addendum Item 2:</w:t>
            </w:r>
          </w:p>
          <w:p w14:paraId="02AF355C" w14:textId="77777777" w:rsidR="00C875AB" w:rsidRPr="00C875AB" w:rsidRDefault="00C875AB" w:rsidP="00C875AB">
            <w:pPr>
              <w:jc w:val="both"/>
              <w:rPr>
                <w:rFonts w:cs="Arial"/>
                <w:b/>
                <w:bCs/>
                <w:szCs w:val="24"/>
                <w:u w:val="single"/>
              </w:rPr>
            </w:pPr>
          </w:p>
          <w:p w14:paraId="169EB283" w14:textId="77777777" w:rsidR="00C875AB" w:rsidRPr="00C875AB" w:rsidRDefault="00C875AB" w:rsidP="00C875AB">
            <w:pPr>
              <w:jc w:val="both"/>
              <w:rPr>
                <w:rFonts w:cs="Arial"/>
                <w:szCs w:val="24"/>
              </w:rPr>
            </w:pPr>
            <w:r w:rsidRPr="00C875AB">
              <w:rPr>
                <w:rFonts w:cs="Arial"/>
                <w:szCs w:val="24"/>
              </w:rPr>
              <w:t>Add the following paragraph at 6.2.9:</w:t>
            </w:r>
          </w:p>
          <w:p w14:paraId="613305E2" w14:textId="77777777" w:rsidR="00C875AB" w:rsidRPr="00C875AB" w:rsidRDefault="00C875AB" w:rsidP="00C875AB">
            <w:pPr>
              <w:jc w:val="both"/>
              <w:rPr>
                <w:rFonts w:cs="Arial"/>
                <w:szCs w:val="24"/>
              </w:rPr>
            </w:pPr>
          </w:p>
          <w:p w14:paraId="7D75AC14" w14:textId="77777777" w:rsidR="00C875AB" w:rsidRPr="00C875AB" w:rsidRDefault="00C875AB" w:rsidP="00C875AB">
            <w:pPr>
              <w:jc w:val="both"/>
              <w:rPr>
                <w:rFonts w:cs="Arial"/>
                <w:i/>
                <w:iCs/>
                <w:szCs w:val="24"/>
              </w:rPr>
            </w:pPr>
            <w:r w:rsidRPr="00C875AB">
              <w:rPr>
                <w:rFonts w:cs="Arial"/>
                <w:i/>
                <w:iCs/>
                <w:szCs w:val="24"/>
              </w:rPr>
              <w:t xml:space="preserve">6.2.9. Policy D10 of the London Plan has regard to basement development and advises that boroughs should establish policies in their development plans to address the negative impacts of large-scale basement developments beneath existing buildings, where this is identified as an issue locally. </w:t>
            </w:r>
          </w:p>
          <w:p w14:paraId="26577A92" w14:textId="77777777" w:rsidR="00C875AB" w:rsidRPr="00C875AB" w:rsidRDefault="00C875AB" w:rsidP="00C875AB">
            <w:pPr>
              <w:jc w:val="both"/>
              <w:rPr>
                <w:rFonts w:cs="Arial"/>
                <w:i/>
                <w:iCs/>
                <w:szCs w:val="24"/>
              </w:rPr>
            </w:pPr>
          </w:p>
          <w:p w14:paraId="0505FDE5" w14:textId="77777777" w:rsidR="00C875AB" w:rsidRPr="00C875AB" w:rsidRDefault="00C875AB" w:rsidP="00C875AB">
            <w:pPr>
              <w:jc w:val="both"/>
              <w:rPr>
                <w:rFonts w:cs="Arial"/>
                <w:i/>
                <w:iCs/>
                <w:szCs w:val="24"/>
              </w:rPr>
            </w:pPr>
            <w:r w:rsidRPr="00C875AB">
              <w:rPr>
                <w:rFonts w:cs="Arial"/>
                <w:i/>
                <w:iCs/>
                <w:szCs w:val="24"/>
              </w:rPr>
              <w:t xml:space="preserve">6.2.10. The proposal is for a redevelopment and does not propose a basement beneath an existing building, nor is the development considered to be a large-scale basement. Furthermore, Harrow does not have any policies in the development management plan </w:t>
            </w:r>
            <w:proofErr w:type="gramStart"/>
            <w:r w:rsidRPr="00C875AB">
              <w:rPr>
                <w:rFonts w:cs="Arial"/>
                <w:i/>
                <w:iCs/>
                <w:szCs w:val="24"/>
              </w:rPr>
              <w:t>with regard to</w:t>
            </w:r>
            <w:proofErr w:type="gramEnd"/>
            <w:r w:rsidRPr="00C875AB">
              <w:rPr>
                <w:rFonts w:cs="Arial"/>
                <w:i/>
                <w:iCs/>
                <w:szCs w:val="24"/>
              </w:rPr>
              <w:t xml:space="preserve"> basements. </w:t>
            </w:r>
          </w:p>
          <w:p w14:paraId="51E9FF46" w14:textId="5E805259" w:rsidR="00C875AB" w:rsidRDefault="00C875AB" w:rsidP="00C875AB">
            <w:pPr>
              <w:jc w:val="both"/>
              <w:rPr>
                <w:rFonts w:cs="Arial"/>
                <w:i/>
                <w:iCs/>
                <w:szCs w:val="24"/>
              </w:rPr>
            </w:pPr>
          </w:p>
          <w:p w14:paraId="7BE40435" w14:textId="75826A53" w:rsidR="003B085B" w:rsidRDefault="003B085B" w:rsidP="00C875AB">
            <w:pPr>
              <w:jc w:val="both"/>
              <w:rPr>
                <w:rFonts w:cs="Arial"/>
                <w:i/>
                <w:iCs/>
                <w:szCs w:val="24"/>
              </w:rPr>
            </w:pPr>
          </w:p>
          <w:p w14:paraId="2735E2C5" w14:textId="594979B4" w:rsidR="003B085B" w:rsidRDefault="003B085B" w:rsidP="00C875AB">
            <w:pPr>
              <w:jc w:val="both"/>
              <w:rPr>
                <w:rFonts w:cs="Arial"/>
                <w:i/>
                <w:iCs/>
                <w:szCs w:val="24"/>
              </w:rPr>
            </w:pPr>
          </w:p>
          <w:p w14:paraId="18F30C67" w14:textId="77777777" w:rsidR="00C875AB" w:rsidRPr="00C875AB" w:rsidRDefault="00C875AB" w:rsidP="00C875AB">
            <w:pPr>
              <w:jc w:val="both"/>
              <w:rPr>
                <w:rFonts w:cs="Arial"/>
                <w:b/>
                <w:bCs/>
                <w:szCs w:val="24"/>
                <w:u w:val="single"/>
              </w:rPr>
            </w:pPr>
            <w:r w:rsidRPr="00C875AB">
              <w:rPr>
                <w:rFonts w:cs="Arial"/>
                <w:b/>
                <w:bCs/>
                <w:szCs w:val="24"/>
                <w:u w:val="single"/>
              </w:rPr>
              <w:t>Addendum Item 3:</w:t>
            </w:r>
          </w:p>
          <w:p w14:paraId="3F2F9B71" w14:textId="77777777" w:rsidR="00C875AB" w:rsidRPr="00C875AB" w:rsidRDefault="00C875AB" w:rsidP="00C875AB">
            <w:pPr>
              <w:jc w:val="both"/>
              <w:rPr>
                <w:rFonts w:cs="Arial"/>
                <w:szCs w:val="24"/>
                <w:u w:val="single"/>
              </w:rPr>
            </w:pPr>
          </w:p>
          <w:p w14:paraId="206B1798" w14:textId="77777777" w:rsidR="00C875AB" w:rsidRPr="00C875AB" w:rsidRDefault="00C875AB" w:rsidP="00C875AB">
            <w:pPr>
              <w:jc w:val="both"/>
              <w:rPr>
                <w:rFonts w:cs="Arial"/>
                <w:szCs w:val="24"/>
              </w:rPr>
            </w:pPr>
            <w:r w:rsidRPr="00C875AB">
              <w:rPr>
                <w:rFonts w:cs="Arial"/>
                <w:szCs w:val="24"/>
              </w:rPr>
              <w:t>Condition to be added:</w:t>
            </w:r>
          </w:p>
          <w:p w14:paraId="4774D804" w14:textId="77777777" w:rsidR="00C875AB" w:rsidRPr="00C875AB" w:rsidRDefault="00C875AB" w:rsidP="00C875AB">
            <w:pPr>
              <w:jc w:val="both"/>
              <w:rPr>
                <w:rFonts w:cs="Arial"/>
                <w:szCs w:val="24"/>
              </w:rPr>
            </w:pPr>
          </w:p>
          <w:p w14:paraId="688FFB53" w14:textId="77777777" w:rsidR="00C875AB" w:rsidRPr="00C875AB" w:rsidRDefault="00C875AB" w:rsidP="00C875AB">
            <w:pPr>
              <w:jc w:val="both"/>
              <w:rPr>
                <w:rFonts w:cs="Arial"/>
                <w:i/>
                <w:iCs/>
                <w:szCs w:val="24"/>
                <w:u w:val="single"/>
              </w:rPr>
            </w:pPr>
            <w:r w:rsidRPr="00C875AB">
              <w:rPr>
                <w:rFonts w:cs="Arial"/>
                <w:i/>
                <w:iCs/>
                <w:szCs w:val="24"/>
                <w:u w:val="single"/>
              </w:rPr>
              <w:t>Condition 16</w:t>
            </w:r>
          </w:p>
          <w:p w14:paraId="76A9923D" w14:textId="77777777" w:rsidR="00C875AB" w:rsidRPr="00C875AB" w:rsidRDefault="00C875AB" w:rsidP="00C875AB">
            <w:pPr>
              <w:jc w:val="both"/>
              <w:rPr>
                <w:rFonts w:cs="Arial"/>
                <w:szCs w:val="24"/>
              </w:rPr>
            </w:pPr>
          </w:p>
          <w:p w14:paraId="625C2E5C" w14:textId="18E894AC" w:rsidR="00C875AB" w:rsidRDefault="00C875AB" w:rsidP="00C875AB">
            <w:pPr>
              <w:tabs>
                <w:tab w:val="center" w:pos="4153"/>
                <w:tab w:val="right" w:pos="8306"/>
              </w:tabs>
              <w:jc w:val="both"/>
              <w:rPr>
                <w:rFonts w:cs="Arial"/>
                <w:i/>
                <w:iCs/>
                <w:szCs w:val="24"/>
              </w:rPr>
            </w:pPr>
            <w:r w:rsidRPr="00C875AB">
              <w:rPr>
                <w:rFonts w:cs="Arial"/>
                <w:i/>
                <w:iCs/>
                <w:szCs w:val="24"/>
              </w:rPr>
              <w:t>The development hereby approved shall not progress beyond damp proof course level until samples of the materials to be used in the construction of the external surfaces noted below have been submitted to, and agreed in writing by, the local planning authority:</w:t>
            </w:r>
          </w:p>
          <w:p w14:paraId="2D9C4142" w14:textId="77777777" w:rsidR="003B085B" w:rsidRPr="00C875AB" w:rsidRDefault="003B085B" w:rsidP="00C875AB">
            <w:pPr>
              <w:tabs>
                <w:tab w:val="center" w:pos="4153"/>
                <w:tab w:val="right" w:pos="8306"/>
              </w:tabs>
              <w:jc w:val="both"/>
              <w:rPr>
                <w:rFonts w:cs="Arial"/>
                <w:i/>
                <w:iCs/>
                <w:szCs w:val="24"/>
              </w:rPr>
            </w:pPr>
          </w:p>
          <w:p w14:paraId="056B7789" w14:textId="77777777" w:rsidR="00C875AB" w:rsidRPr="00C875AB" w:rsidRDefault="00C875AB" w:rsidP="00C61F5B">
            <w:pPr>
              <w:numPr>
                <w:ilvl w:val="0"/>
                <w:numId w:val="2"/>
              </w:numPr>
              <w:tabs>
                <w:tab w:val="center" w:pos="4153"/>
                <w:tab w:val="right" w:pos="8306"/>
              </w:tabs>
              <w:jc w:val="both"/>
              <w:rPr>
                <w:rFonts w:cs="Arial"/>
                <w:i/>
                <w:iCs/>
                <w:szCs w:val="24"/>
              </w:rPr>
            </w:pPr>
            <w:r w:rsidRPr="00C875AB">
              <w:rPr>
                <w:rFonts w:cs="Arial"/>
                <w:i/>
                <w:iCs/>
                <w:szCs w:val="24"/>
              </w:rPr>
              <w:t>the buildings;</w:t>
            </w:r>
          </w:p>
          <w:p w14:paraId="06D57CC5" w14:textId="77777777" w:rsidR="00C875AB" w:rsidRPr="00C875AB" w:rsidRDefault="00C875AB" w:rsidP="00C61F5B">
            <w:pPr>
              <w:numPr>
                <w:ilvl w:val="0"/>
                <w:numId w:val="2"/>
              </w:numPr>
              <w:tabs>
                <w:tab w:val="center" w:pos="4153"/>
                <w:tab w:val="right" w:pos="8306"/>
              </w:tabs>
              <w:jc w:val="both"/>
              <w:rPr>
                <w:rFonts w:cs="Arial"/>
                <w:i/>
                <w:iCs/>
                <w:szCs w:val="24"/>
              </w:rPr>
            </w:pPr>
            <w:r w:rsidRPr="00C875AB">
              <w:rPr>
                <w:rFonts w:cs="Arial"/>
                <w:i/>
                <w:iCs/>
                <w:szCs w:val="24"/>
              </w:rPr>
              <w:t>the ground surfacing; and</w:t>
            </w:r>
          </w:p>
          <w:p w14:paraId="4720354F" w14:textId="77777777" w:rsidR="00C875AB" w:rsidRPr="00C875AB" w:rsidRDefault="00C875AB" w:rsidP="00C61F5B">
            <w:pPr>
              <w:numPr>
                <w:ilvl w:val="0"/>
                <w:numId w:val="2"/>
              </w:numPr>
              <w:tabs>
                <w:tab w:val="center" w:pos="4153"/>
                <w:tab w:val="right" w:pos="8306"/>
              </w:tabs>
              <w:jc w:val="both"/>
              <w:rPr>
                <w:rFonts w:cs="Arial"/>
                <w:i/>
                <w:iCs/>
                <w:szCs w:val="24"/>
              </w:rPr>
            </w:pPr>
            <w:r w:rsidRPr="00C875AB">
              <w:rPr>
                <w:rFonts w:cs="Arial"/>
                <w:i/>
                <w:iCs/>
                <w:szCs w:val="24"/>
              </w:rPr>
              <w:t>the boundary treatment.</w:t>
            </w:r>
          </w:p>
          <w:p w14:paraId="74CDDEC8" w14:textId="77777777" w:rsidR="003B085B" w:rsidRDefault="003B085B" w:rsidP="00C875AB">
            <w:pPr>
              <w:tabs>
                <w:tab w:val="center" w:pos="4153"/>
                <w:tab w:val="right" w:pos="8306"/>
              </w:tabs>
              <w:jc w:val="both"/>
              <w:rPr>
                <w:rFonts w:cs="Arial"/>
                <w:i/>
                <w:iCs/>
                <w:szCs w:val="24"/>
              </w:rPr>
            </w:pPr>
          </w:p>
          <w:p w14:paraId="39A9E3D4" w14:textId="3BDEFE48" w:rsidR="00C875AB" w:rsidRPr="00C875AB" w:rsidRDefault="00C875AB" w:rsidP="00C875AB">
            <w:pPr>
              <w:tabs>
                <w:tab w:val="center" w:pos="4153"/>
                <w:tab w:val="right" w:pos="8306"/>
              </w:tabs>
              <w:jc w:val="both"/>
              <w:rPr>
                <w:rFonts w:cs="Arial"/>
                <w:i/>
                <w:iCs/>
                <w:szCs w:val="24"/>
              </w:rPr>
            </w:pPr>
            <w:r w:rsidRPr="00C875AB">
              <w:rPr>
                <w:rFonts w:cs="Arial"/>
                <w:i/>
                <w:iCs/>
                <w:szCs w:val="24"/>
              </w:rPr>
              <w:t>The development shall be carried out in accordance with the details so agreed and shall thereafter be retained.</w:t>
            </w:r>
          </w:p>
          <w:p w14:paraId="45960479" w14:textId="77777777" w:rsidR="00C875AB" w:rsidRPr="00C875AB" w:rsidRDefault="00C875AB" w:rsidP="00C875AB">
            <w:pPr>
              <w:tabs>
                <w:tab w:val="center" w:pos="4153"/>
                <w:tab w:val="right" w:pos="8306"/>
              </w:tabs>
              <w:jc w:val="both"/>
              <w:rPr>
                <w:rFonts w:cs="Arial"/>
                <w:i/>
                <w:iCs/>
                <w:szCs w:val="24"/>
              </w:rPr>
            </w:pPr>
          </w:p>
          <w:p w14:paraId="2736623C" w14:textId="77777777" w:rsidR="00C875AB" w:rsidRPr="00C875AB" w:rsidRDefault="00C875AB" w:rsidP="00C875AB">
            <w:pPr>
              <w:tabs>
                <w:tab w:val="center" w:pos="4153"/>
                <w:tab w:val="right" w:pos="8306"/>
              </w:tabs>
              <w:jc w:val="both"/>
              <w:rPr>
                <w:rFonts w:cs="Arial"/>
                <w:i/>
                <w:iCs/>
                <w:szCs w:val="24"/>
              </w:rPr>
            </w:pPr>
            <w:r w:rsidRPr="00C875AB">
              <w:rPr>
                <w:rFonts w:cs="Arial"/>
                <w:i/>
                <w:iCs/>
                <w:szCs w:val="24"/>
              </w:rPr>
              <w:t>REASON: To ensure that the development achieves a high standard of design and layout and to ensure that the ground surfacing materials are permeable in accordance with Policy DM 1 A &amp; B and DM 10 B of the Harrow Development Management Policies Local Plan (2013).</w:t>
            </w:r>
          </w:p>
          <w:p w14:paraId="7B70714F" w14:textId="28CF2213" w:rsidR="00C875AB" w:rsidRPr="00F8524A" w:rsidRDefault="00C875AB" w:rsidP="008406A9">
            <w:pPr>
              <w:pStyle w:val="Header"/>
              <w:tabs>
                <w:tab w:val="clear" w:pos="4153"/>
                <w:tab w:val="clear" w:pos="8306"/>
              </w:tabs>
              <w:jc w:val="both"/>
              <w:rPr>
                <w:rFonts w:cs="Arial"/>
                <w:b/>
                <w:bCs/>
                <w:szCs w:val="24"/>
              </w:rPr>
            </w:pPr>
          </w:p>
        </w:tc>
      </w:tr>
      <w:tr w:rsidR="00686558" w:rsidRPr="00686558" w14:paraId="0C1718D3" w14:textId="77777777" w:rsidTr="00686558">
        <w:tblPrEx>
          <w:tblLook w:val="04A0" w:firstRow="1" w:lastRow="0" w:firstColumn="1" w:lastColumn="0" w:noHBand="0" w:noVBand="1"/>
        </w:tblPrEx>
        <w:tc>
          <w:tcPr>
            <w:tcW w:w="10314" w:type="dxa"/>
            <w:gridSpan w:val="4"/>
            <w:shd w:val="clear" w:color="auto" w:fill="auto"/>
          </w:tcPr>
          <w:p w14:paraId="231F08A0" w14:textId="77777777" w:rsidR="00686558" w:rsidRPr="00686558" w:rsidRDefault="00686558" w:rsidP="00686558">
            <w:pPr>
              <w:jc w:val="both"/>
              <w:rPr>
                <w:rFonts w:cs="Arial"/>
                <w:b/>
                <w:bCs/>
                <w:szCs w:val="24"/>
                <w:u w:val="single"/>
              </w:rPr>
            </w:pPr>
          </w:p>
          <w:p w14:paraId="789AB332" w14:textId="77777777" w:rsidR="00686558" w:rsidRPr="00686558" w:rsidRDefault="00686558" w:rsidP="00686558">
            <w:pPr>
              <w:jc w:val="center"/>
              <w:rPr>
                <w:rFonts w:cs="Arial"/>
                <w:b/>
                <w:bCs/>
                <w:szCs w:val="24"/>
              </w:rPr>
            </w:pPr>
          </w:p>
          <w:p w14:paraId="61D97388" w14:textId="77777777" w:rsidR="00686558" w:rsidRPr="00686558" w:rsidRDefault="00686558" w:rsidP="00686558">
            <w:pPr>
              <w:jc w:val="center"/>
              <w:rPr>
                <w:rFonts w:cs="Arial"/>
                <w:b/>
                <w:bCs/>
                <w:szCs w:val="24"/>
              </w:rPr>
            </w:pPr>
          </w:p>
          <w:p w14:paraId="6E3217AC" w14:textId="77777777" w:rsidR="00686558" w:rsidRPr="00686558" w:rsidRDefault="00686558" w:rsidP="00686558">
            <w:pPr>
              <w:jc w:val="center"/>
              <w:rPr>
                <w:rFonts w:cs="Arial"/>
                <w:b/>
                <w:bCs/>
                <w:szCs w:val="24"/>
              </w:rPr>
            </w:pPr>
            <w:r w:rsidRPr="00686558">
              <w:rPr>
                <w:rFonts w:cs="Arial"/>
                <w:b/>
                <w:bCs/>
                <w:szCs w:val="24"/>
              </w:rPr>
              <w:t>AGENDA ITEM 10 – REPRESENTATIONS ON PLANNING APPLICATIONS</w:t>
            </w:r>
          </w:p>
          <w:p w14:paraId="12C31793" w14:textId="77777777" w:rsidR="00686558" w:rsidRPr="00686558" w:rsidRDefault="00686558" w:rsidP="00686558">
            <w:pPr>
              <w:jc w:val="both"/>
              <w:rPr>
                <w:rFonts w:cs="Arial"/>
                <w:b/>
                <w:bCs/>
                <w:szCs w:val="24"/>
                <w:u w:val="single"/>
              </w:rPr>
            </w:pPr>
          </w:p>
          <w:p w14:paraId="616C2011" w14:textId="77777777" w:rsidR="00686558" w:rsidRPr="00686558" w:rsidRDefault="00686558" w:rsidP="00686558">
            <w:pPr>
              <w:jc w:val="both"/>
              <w:rPr>
                <w:rFonts w:cs="Arial"/>
                <w:b/>
                <w:bCs/>
                <w:szCs w:val="24"/>
                <w:u w:val="single"/>
              </w:rPr>
            </w:pPr>
          </w:p>
        </w:tc>
      </w:tr>
      <w:tr w:rsidR="00686558" w:rsidRPr="00686558" w14:paraId="72AADC99" w14:textId="77777777" w:rsidTr="00686558">
        <w:tblPrEx>
          <w:tblLook w:val="04A0" w:firstRow="1" w:lastRow="0" w:firstColumn="1" w:lastColumn="0" w:noHBand="0" w:noVBand="1"/>
        </w:tblPrEx>
        <w:tc>
          <w:tcPr>
            <w:tcW w:w="3154" w:type="dxa"/>
            <w:gridSpan w:val="2"/>
            <w:shd w:val="clear" w:color="auto" w:fill="auto"/>
          </w:tcPr>
          <w:p w14:paraId="6D2018A9" w14:textId="77777777" w:rsidR="00686558" w:rsidRPr="00686558" w:rsidRDefault="00686558" w:rsidP="00686558">
            <w:pPr>
              <w:tabs>
                <w:tab w:val="left" w:pos="3402"/>
                <w:tab w:val="left" w:pos="5670"/>
                <w:tab w:val="left" w:pos="7088"/>
                <w:tab w:val="left" w:pos="8222"/>
              </w:tabs>
              <w:jc w:val="both"/>
              <w:rPr>
                <w:rFonts w:cs="Arial"/>
                <w:b/>
                <w:szCs w:val="24"/>
              </w:rPr>
            </w:pPr>
          </w:p>
          <w:p w14:paraId="035F0C93" w14:textId="77777777" w:rsidR="00686558" w:rsidRPr="00686558" w:rsidRDefault="00686558" w:rsidP="00686558">
            <w:pPr>
              <w:tabs>
                <w:tab w:val="left" w:pos="3402"/>
                <w:tab w:val="left" w:pos="5670"/>
                <w:tab w:val="left" w:pos="7088"/>
                <w:tab w:val="left" w:pos="8222"/>
              </w:tabs>
              <w:jc w:val="both"/>
              <w:rPr>
                <w:rFonts w:cs="Arial"/>
                <w:b/>
                <w:szCs w:val="24"/>
              </w:rPr>
            </w:pPr>
            <w:r w:rsidRPr="00686558">
              <w:rPr>
                <w:rFonts w:cs="Arial"/>
                <w:b/>
                <w:szCs w:val="24"/>
              </w:rPr>
              <w:t>Agenda Item</w:t>
            </w:r>
          </w:p>
          <w:p w14:paraId="70721C92" w14:textId="77777777" w:rsidR="00686558" w:rsidRPr="00686558" w:rsidRDefault="00686558" w:rsidP="00686558">
            <w:pPr>
              <w:tabs>
                <w:tab w:val="left" w:pos="3402"/>
                <w:tab w:val="left" w:pos="5670"/>
                <w:tab w:val="left" w:pos="7088"/>
                <w:tab w:val="left" w:pos="8222"/>
              </w:tabs>
              <w:jc w:val="both"/>
              <w:rPr>
                <w:rFonts w:cs="Arial"/>
                <w:b/>
                <w:szCs w:val="24"/>
              </w:rPr>
            </w:pPr>
          </w:p>
        </w:tc>
        <w:tc>
          <w:tcPr>
            <w:tcW w:w="3417" w:type="dxa"/>
            <w:shd w:val="clear" w:color="auto" w:fill="auto"/>
          </w:tcPr>
          <w:p w14:paraId="64BEFD94" w14:textId="77777777" w:rsidR="00686558" w:rsidRPr="00686558" w:rsidRDefault="00686558" w:rsidP="00686558">
            <w:pPr>
              <w:tabs>
                <w:tab w:val="left" w:pos="3402"/>
                <w:tab w:val="left" w:pos="5670"/>
                <w:tab w:val="left" w:pos="7088"/>
                <w:tab w:val="left" w:pos="8222"/>
              </w:tabs>
              <w:jc w:val="both"/>
              <w:rPr>
                <w:rFonts w:cs="Arial"/>
                <w:b/>
                <w:szCs w:val="24"/>
              </w:rPr>
            </w:pPr>
          </w:p>
          <w:p w14:paraId="0E131061" w14:textId="77777777" w:rsidR="00686558" w:rsidRPr="00686558" w:rsidRDefault="00686558" w:rsidP="00686558">
            <w:pPr>
              <w:tabs>
                <w:tab w:val="left" w:pos="3402"/>
                <w:tab w:val="left" w:pos="5670"/>
                <w:tab w:val="left" w:pos="7088"/>
                <w:tab w:val="left" w:pos="8222"/>
              </w:tabs>
              <w:jc w:val="both"/>
              <w:rPr>
                <w:rFonts w:cs="Arial"/>
                <w:b/>
                <w:szCs w:val="24"/>
              </w:rPr>
            </w:pPr>
            <w:r w:rsidRPr="00686558">
              <w:rPr>
                <w:rFonts w:cs="Arial"/>
                <w:b/>
                <w:szCs w:val="24"/>
              </w:rPr>
              <w:t>Application</w:t>
            </w:r>
          </w:p>
        </w:tc>
        <w:tc>
          <w:tcPr>
            <w:tcW w:w="3743" w:type="dxa"/>
            <w:shd w:val="clear" w:color="auto" w:fill="auto"/>
          </w:tcPr>
          <w:p w14:paraId="0C680526" w14:textId="77777777" w:rsidR="00686558" w:rsidRPr="00686558" w:rsidRDefault="00686558" w:rsidP="00686558">
            <w:pPr>
              <w:tabs>
                <w:tab w:val="left" w:pos="3402"/>
                <w:tab w:val="left" w:pos="5670"/>
                <w:tab w:val="left" w:pos="7088"/>
                <w:tab w:val="left" w:pos="8222"/>
              </w:tabs>
              <w:jc w:val="both"/>
              <w:rPr>
                <w:rFonts w:cs="Arial"/>
                <w:b/>
                <w:szCs w:val="24"/>
              </w:rPr>
            </w:pPr>
          </w:p>
          <w:p w14:paraId="0D9A4738" w14:textId="77777777" w:rsidR="00686558" w:rsidRPr="00686558" w:rsidRDefault="00686558" w:rsidP="00686558">
            <w:pPr>
              <w:tabs>
                <w:tab w:val="left" w:pos="3402"/>
                <w:tab w:val="left" w:pos="5670"/>
                <w:tab w:val="left" w:pos="7088"/>
                <w:tab w:val="left" w:pos="8222"/>
              </w:tabs>
              <w:jc w:val="both"/>
              <w:rPr>
                <w:rFonts w:cs="Arial"/>
                <w:b/>
                <w:szCs w:val="24"/>
              </w:rPr>
            </w:pPr>
            <w:r w:rsidRPr="00686558">
              <w:rPr>
                <w:rFonts w:cs="Arial"/>
                <w:b/>
                <w:szCs w:val="24"/>
              </w:rPr>
              <w:t>Speakers</w:t>
            </w:r>
          </w:p>
        </w:tc>
      </w:tr>
      <w:tr w:rsidR="00686558" w:rsidRPr="00686558" w14:paraId="6B262ABC" w14:textId="77777777" w:rsidTr="00686558">
        <w:tblPrEx>
          <w:tblLook w:val="04A0" w:firstRow="1" w:lastRow="0" w:firstColumn="1" w:lastColumn="0" w:noHBand="0" w:noVBand="1"/>
        </w:tblPrEx>
        <w:trPr>
          <w:trHeight w:val="637"/>
        </w:trPr>
        <w:tc>
          <w:tcPr>
            <w:tcW w:w="3154" w:type="dxa"/>
            <w:gridSpan w:val="2"/>
            <w:shd w:val="clear" w:color="auto" w:fill="auto"/>
          </w:tcPr>
          <w:p w14:paraId="1FDDCEB2" w14:textId="77777777" w:rsidR="00686558" w:rsidRPr="00686558" w:rsidRDefault="00686558" w:rsidP="00686558">
            <w:pPr>
              <w:tabs>
                <w:tab w:val="left" w:pos="3402"/>
                <w:tab w:val="left" w:pos="5670"/>
                <w:tab w:val="left" w:pos="7088"/>
                <w:tab w:val="left" w:pos="8222"/>
              </w:tabs>
              <w:jc w:val="both"/>
              <w:rPr>
                <w:rFonts w:cs="Arial"/>
                <w:b/>
                <w:szCs w:val="24"/>
              </w:rPr>
            </w:pPr>
          </w:p>
          <w:p w14:paraId="1B4F58E9" w14:textId="7C28002B" w:rsidR="00686558" w:rsidRPr="00686558" w:rsidRDefault="00686558" w:rsidP="00686558">
            <w:pPr>
              <w:tabs>
                <w:tab w:val="left" w:pos="3402"/>
                <w:tab w:val="left" w:pos="5670"/>
                <w:tab w:val="left" w:pos="7088"/>
                <w:tab w:val="left" w:pos="8222"/>
              </w:tabs>
              <w:jc w:val="both"/>
              <w:rPr>
                <w:rFonts w:cs="Arial"/>
                <w:b/>
                <w:szCs w:val="24"/>
              </w:rPr>
            </w:pPr>
            <w:r>
              <w:rPr>
                <w:rFonts w:cs="Arial"/>
                <w:b/>
                <w:szCs w:val="24"/>
              </w:rPr>
              <w:t>1</w:t>
            </w:r>
            <w:r w:rsidRPr="00686558">
              <w:rPr>
                <w:rFonts w:cs="Arial"/>
                <w:b/>
                <w:szCs w:val="24"/>
              </w:rPr>
              <w:t>/0</w:t>
            </w:r>
            <w:r>
              <w:rPr>
                <w:rFonts w:cs="Arial"/>
                <w:b/>
                <w:szCs w:val="24"/>
              </w:rPr>
              <w:t>1</w:t>
            </w:r>
          </w:p>
        </w:tc>
        <w:tc>
          <w:tcPr>
            <w:tcW w:w="3417" w:type="dxa"/>
            <w:shd w:val="clear" w:color="auto" w:fill="auto"/>
          </w:tcPr>
          <w:p w14:paraId="4E1298BE" w14:textId="77777777" w:rsidR="00686558" w:rsidRPr="00686558" w:rsidRDefault="00686558" w:rsidP="00686558">
            <w:pPr>
              <w:tabs>
                <w:tab w:val="left" w:pos="3402"/>
                <w:tab w:val="left" w:pos="5670"/>
                <w:tab w:val="left" w:pos="7088"/>
                <w:tab w:val="left" w:pos="8222"/>
              </w:tabs>
              <w:jc w:val="both"/>
              <w:rPr>
                <w:rFonts w:cs="Arial"/>
                <w:bCs/>
                <w:szCs w:val="24"/>
              </w:rPr>
            </w:pPr>
          </w:p>
          <w:p w14:paraId="0B02C864" w14:textId="101974BD" w:rsidR="00686558" w:rsidRPr="00686558" w:rsidRDefault="00686558" w:rsidP="00686558">
            <w:pPr>
              <w:tabs>
                <w:tab w:val="left" w:pos="3402"/>
                <w:tab w:val="left" w:pos="5670"/>
                <w:tab w:val="left" w:pos="7088"/>
                <w:tab w:val="left" w:pos="8222"/>
              </w:tabs>
              <w:jc w:val="both"/>
              <w:rPr>
                <w:rFonts w:cs="Arial"/>
                <w:bCs/>
                <w:szCs w:val="24"/>
              </w:rPr>
            </w:pPr>
            <w:r w:rsidRPr="00686558">
              <w:rPr>
                <w:rFonts w:cs="Arial"/>
                <w:bCs/>
                <w:szCs w:val="24"/>
              </w:rPr>
              <w:t>Harrow Council Civic Car Park A</w:t>
            </w:r>
            <w:r>
              <w:rPr>
                <w:rFonts w:cs="Arial"/>
                <w:bCs/>
                <w:szCs w:val="24"/>
              </w:rPr>
              <w:t>,</w:t>
            </w:r>
            <w:r w:rsidRPr="00686558">
              <w:rPr>
                <w:rFonts w:cs="Arial"/>
                <w:bCs/>
                <w:szCs w:val="24"/>
              </w:rPr>
              <w:t xml:space="preserve"> Milton R</w:t>
            </w:r>
            <w:r>
              <w:rPr>
                <w:rFonts w:cs="Arial"/>
                <w:bCs/>
                <w:szCs w:val="24"/>
              </w:rPr>
              <w:t>oa</w:t>
            </w:r>
            <w:r w:rsidRPr="00686558">
              <w:rPr>
                <w:rFonts w:cs="Arial"/>
                <w:bCs/>
                <w:szCs w:val="24"/>
              </w:rPr>
              <w:t>d &amp; 9 Station Road, Milton Road</w:t>
            </w:r>
            <w:r>
              <w:rPr>
                <w:rFonts w:cs="Arial"/>
                <w:bCs/>
                <w:szCs w:val="24"/>
              </w:rPr>
              <w:t xml:space="preserve"> (</w:t>
            </w:r>
            <w:r w:rsidRPr="00686558">
              <w:rPr>
                <w:rFonts w:cs="Arial"/>
                <w:bCs/>
                <w:szCs w:val="24"/>
              </w:rPr>
              <w:t>P/4477/21</w:t>
            </w:r>
            <w:r>
              <w:rPr>
                <w:rFonts w:cs="Arial"/>
                <w:bCs/>
                <w:szCs w:val="24"/>
              </w:rPr>
              <w:t>)</w:t>
            </w:r>
          </w:p>
        </w:tc>
        <w:tc>
          <w:tcPr>
            <w:tcW w:w="3743" w:type="dxa"/>
            <w:shd w:val="clear" w:color="auto" w:fill="auto"/>
          </w:tcPr>
          <w:p w14:paraId="04CE594E" w14:textId="77777777" w:rsidR="00686558" w:rsidRPr="00686558" w:rsidRDefault="00686558" w:rsidP="00686558">
            <w:pPr>
              <w:tabs>
                <w:tab w:val="left" w:pos="3402"/>
                <w:tab w:val="left" w:pos="5670"/>
                <w:tab w:val="left" w:pos="7088"/>
                <w:tab w:val="left" w:pos="8222"/>
              </w:tabs>
              <w:jc w:val="both"/>
              <w:rPr>
                <w:rFonts w:cs="Arial"/>
                <w:bCs/>
                <w:szCs w:val="24"/>
              </w:rPr>
            </w:pPr>
          </w:p>
          <w:p w14:paraId="7B44C8EB" w14:textId="76321D22" w:rsidR="00686558" w:rsidRPr="00686558" w:rsidRDefault="00686558" w:rsidP="00686558">
            <w:pPr>
              <w:tabs>
                <w:tab w:val="left" w:pos="3402"/>
                <w:tab w:val="left" w:pos="5670"/>
                <w:tab w:val="left" w:pos="7088"/>
                <w:tab w:val="left" w:pos="8222"/>
              </w:tabs>
              <w:jc w:val="both"/>
              <w:rPr>
                <w:rFonts w:cs="Arial"/>
                <w:bCs/>
                <w:szCs w:val="24"/>
              </w:rPr>
            </w:pPr>
            <w:r>
              <w:rPr>
                <w:rFonts w:cs="Arial"/>
                <w:bCs/>
                <w:szCs w:val="24"/>
              </w:rPr>
              <w:t xml:space="preserve">Ajay </w:t>
            </w:r>
            <w:proofErr w:type="spellStart"/>
            <w:r>
              <w:rPr>
                <w:rFonts w:cs="Arial"/>
                <w:bCs/>
                <w:szCs w:val="24"/>
              </w:rPr>
              <w:t>Thakure</w:t>
            </w:r>
            <w:proofErr w:type="spellEnd"/>
            <w:r w:rsidRPr="00686558">
              <w:rPr>
                <w:rFonts w:cs="Arial"/>
                <w:bCs/>
                <w:szCs w:val="24"/>
              </w:rPr>
              <w:t xml:space="preserve"> (Objector)</w:t>
            </w:r>
          </w:p>
          <w:p w14:paraId="18DCD96F" w14:textId="77777777" w:rsidR="00686558" w:rsidRPr="00686558" w:rsidRDefault="00686558" w:rsidP="00686558">
            <w:pPr>
              <w:tabs>
                <w:tab w:val="left" w:pos="3402"/>
                <w:tab w:val="left" w:pos="5670"/>
                <w:tab w:val="left" w:pos="7088"/>
                <w:tab w:val="left" w:pos="8222"/>
              </w:tabs>
              <w:jc w:val="both"/>
              <w:rPr>
                <w:rFonts w:cs="Arial"/>
                <w:bCs/>
                <w:szCs w:val="24"/>
              </w:rPr>
            </w:pPr>
          </w:p>
          <w:p w14:paraId="6B8E26C0" w14:textId="6CA3CA2B" w:rsidR="00686558" w:rsidRPr="00686558" w:rsidRDefault="00686558" w:rsidP="00686558">
            <w:pPr>
              <w:tabs>
                <w:tab w:val="left" w:pos="3402"/>
                <w:tab w:val="left" w:pos="5670"/>
                <w:tab w:val="left" w:pos="7088"/>
                <w:tab w:val="left" w:pos="8222"/>
              </w:tabs>
              <w:jc w:val="both"/>
              <w:rPr>
                <w:rFonts w:cs="Arial"/>
                <w:bCs/>
                <w:szCs w:val="24"/>
              </w:rPr>
            </w:pPr>
            <w:r>
              <w:rPr>
                <w:rFonts w:cs="Arial"/>
                <w:bCs/>
                <w:szCs w:val="24"/>
              </w:rPr>
              <w:t xml:space="preserve">Olivia Russell or Sarah Stevens </w:t>
            </w:r>
            <w:r w:rsidRPr="00686558">
              <w:rPr>
                <w:rFonts w:cs="Arial"/>
                <w:bCs/>
                <w:szCs w:val="24"/>
              </w:rPr>
              <w:t>(Agent</w:t>
            </w:r>
            <w:r>
              <w:rPr>
                <w:rFonts w:cs="Arial"/>
                <w:bCs/>
                <w:szCs w:val="24"/>
              </w:rPr>
              <w:t>s</w:t>
            </w:r>
            <w:r w:rsidRPr="00686558">
              <w:rPr>
                <w:rFonts w:cs="Arial"/>
                <w:bCs/>
                <w:szCs w:val="24"/>
              </w:rPr>
              <w:t xml:space="preserve"> for Applicant) </w:t>
            </w:r>
          </w:p>
          <w:p w14:paraId="47719321" w14:textId="77777777" w:rsidR="00686558" w:rsidRPr="00686558" w:rsidRDefault="00686558" w:rsidP="00686558">
            <w:pPr>
              <w:tabs>
                <w:tab w:val="left" w:pos="3402"/>
                <w:tab w:val="left" w:pos="5670"/>
                <w:tab w:val="left" w:pos="7088"/>
                <w:tab w:val="left" w:pos="8222"/>
              </w:tabs>
              <w:jc w:val="both"/>
              <w:rPr>
                <w:rFonts w:cs="Arial"/>
                <w:bCs/>
                <w:szCs w:val="24"/>
              </w:rPr>
            </w:pPr>
          </w:p>
        </w:tc>
      </w:tr>
    </w:tbl>
    <w:p w14:paraId="32424EA8" w14:textId="77777777" w:rsidR="00686558" w:rsidRPr="00686558" w:rsidRDefault="00686558" w:rsidP="00686558"/>
    <w:p w14:paraId="3AB86DCC" w14:textId="5A351E33" w:rsidR="004C01CE" w:rsidRPr="00F8524A" w:rsidRDefault="004C01CE" w:rsidP="0000689E">
      <w:pPr>
        <w:pStyle w:val="BodyText"/>
        <w:jc w:val="left"/>
        <w:rPr>
          <w:rFonts w:cs="Arial"/>
          <w:sz w:val="24"/>
          <w:szCs w:val="24"/>
        </w:rPr>
      </w:pPr>
    </w:p>
    <w:sectPr w:rsidR="004C01CE" w:rsidRPr="00F8524A" w:rsidSect="00C164D8">
      <w:headerReference w:type="even" r:id="rId8"/>
      <w:headerReference w:type="default" r:id="rId9"/>
      <w:footerReference w:type="even" r:id="rId10"/>
      <w:footerReference w:type="default" r:id="rId11"/>
      <w:headerReference w:type="first" r:id="rId12"/>
      <w:footerReference w:type="first" r:id="rId13"/>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1BCC" w14:textId="77777777" w:rsidR="00AE2576" w:rsidRDefault="00AE2576" w:rsidP="00320BC6">
      <w:pPr>
        <w:pStyle w:val="Header"/>
      </w:pPr>
      <w:r>
        <w:separator/>
      </w:r>
    </w:p>
  </w:endnote>
  <w:endnote w:type="continuationSeparator" w:id="0">
    <w:p w14:paraId="2F33F9FA" w14:textId="77777777" w:rsidR="00AE2576" w:rsidRDefault="00AE2576" w:rsidP="00320BC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EB2" w14:textId="77777777" w:rsidR="00425806" w:rsidRDefault="00425806"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A526B" w14:textId="77777777" w:rsidR="00425806" w:rsidRDefault="0042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889A" w14:textId="77777777" w:rsidR="00425806" w:rsidRPr="00C164D8" w:rsidRDefault="00425806"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sidR="00AB6003">
      <w:rPr>
        <w:rStyle w:val="PageNumber"/>
        <w:noProof/>
        <w:sz w:val="20"/>
      </w:rPr>
      <w:t>1</w:t>
    </w:r>
    <w:r w:rsidRPr="00C164D8">
      <w:rPr>
        <w:rStyle w:val="PageNumber"/>
        <w:sz w:val="20"/>
      </w:rPr>
      <w:fldChar w:fldCharType="end"/>
    </w:r>
  </w:p>
  <w:p w14:paraId="2B682203" w14:textId="77777777" w:rsidR="00425806" w:rsidRDefault="00425806">
    <w:pPr>
      <w:pStyle w:val="Footer"/>
      <w:rPr>
        <w:sz w:val="20"/>
      </w:rPr>
    </w:pPr>
    <w:r>
      <w:rPr>
        <w:sz w:val="20"/>
      </w:rPr>
      <w:t>_________________________________________________________________________________________</w:t>
    </w:r>
  </w:p>
  <w:p w14:paraId="54ED8B0E" w14:textId="77777777" w:rsidR="00425806" w:rsidRPr="00C164D8" w:rsidRDefault="00425806" w:rsidP="005D37A5">
    <w:pPr>
      <w:pStyle w:val="Footer"/>
      <w:tabs>
        <w:tab w:val="clear" w:pos="8640"/>
        <w:tab w:val="right" w:pos="9639"/>
      </w:tabs>
      <w:rPr>
        <w:sz w:val="20"/>
      </w:rPr>
    </w:pPr>
    <w:r w:rsidRPr="00C164D8">
      <w:rPr>
        <w:sz w:val="20"/>
      </w:rPr>
      <w:t>Planning Committee Addendum</w:t>
    </w:r>
    <w:r w:rsidRPr="00C164D8">
      <w:rPr>
        <w:sz w:val="20"/>
      </w:rPr>
      <w:tab/>
    </w:r>
    <w:r w:rsidRPr="00C164D8">
      <w:rPr>
        <w:sz w:val="20"/>
      </w:rPr>
      <w:tab/>
      <w:t xml:space="preserve">                                        </w:t>
    </w:r>
    <w:r w:rsidR="00106FDD">
      <w:rPr>
        <w:rFonts w:cs="Arial"/>
        <w:sz w:val="18"/>
        <w:szCs w:val="18"/>
      </w:rPr>
      <w:t>16</w:t>
    </w:r>
    <w:r w:rsidR="00106FDD" w:rsidRPr="00106FDD">
      <w:rPr>
        <w:rFonts w:cs="Arial"/>
        <w:sz w:val="18"/>
        <w:szCs w:val="18"/>
        <w:vertAlign w:val="superscript"/>
      </w:rPr>
      <w:t>th</w:t>
    </w:r>
    <w:r w:rsidR="00106FDD">
      <w:rPr>
        <w:rFonts w:cs="Arial"/>
        <w:sz w:val="18"/>
        <w:szCs w:val="18"/>
      </w:rPr>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63BD" w14:textId="77777777" w:rsidR="00106FDD" w:rsidRDefault="0010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37B6" w14:textId="77777777" w:rsidR="00AE2576" w:rsidRDefault="00AE2576" w:rsidP="00320BC6">
      <w:pPr>
        <w:pStyle w:val="Header"/>
      </w:pPr>
      <w:r>
        <w:separator/>
      </w:r>
    </w:p>
  </w:footnote>
  <w:footnote w:type="continuationSeparator" w:id="0">
    <w:p w14:paraId="262E602F" w14:textId="77777777" w:rsidR="00AE2576" w:rsidRDefault="00AE2576" w:rsidP="00320BC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177E" w14:textId="77777777" w:rsidR="00106FDD" w:rsidRDefault="0010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D8C" w14:textId="77777777" w:rsidR="00106FDD" w:rsidRDefault="00106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7469" w14:textId="77777777" w:rsidR="00106FDD" w:rsidRDefault="0010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3678"/>
    <w:multiLevelType w:val="singleLevel"/>
    <w:tmpl w:val="A2A4E740"/>
    <w:lvl w:ilvl="0">
      <w:start w:val="1"/>
      <w:numFmt w:val="decimal"/>
      <w:pStyle w:val="Heading3"/>
      <w:lvlText w:val="%1"/>
      <w:lvlJc w:val="left"/>
      <w:pPr>
        <w:tabs>
          <w:tab w:val="num" w:pos="1425"/>
        </w:tabs>
        <w:ind w:left="1425" w:hanging="1425"/>
      </w:pPr>
      <w:rPr>
        <w:rFonts w:hint="default"/>
      </w:rPr>
    </w:lvl>
  </w:abstractNum>
  <w:abstractNum w:abstractNumId="1" w15:restartNumberingAfterBreak="0">
    <w:nsid w:val="25416665"/>
    <w:multiLevelType w:val="hybridMultilevel"/>
    <w:tmpl w:val="202ED510"/>
    <w:lvl w:ilvl="0" w:tplc="7A382F8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2C01CB"/>
    <w:multiLevelType w:val="hybridMultilevel"/>
    <w:tmpl w:val="EAE4B508"/>
    <w:lvl w:ilvl="0" w:tplc="7A382F8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F2138"/>
    <w:multiLevelType w:val="hybridMultilevel"/>
    <w:tmpl w:val="2A5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3145C"/>
    <w:multiLevelType w:val="hybridMultilevel"/>
    <w:tmpl w:val="0F42D3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FD"/>
    <w:rsid w:val="00001683"/>
    <w:rsid w:val="0000689E"/>
    <w:rsid w:val="00007CA7"/>
    <w:rsid w:val="000118B3"/>
    <w:rsid w:val="00014AF1"/>
    <w:rsid w:val="00020655"/>
    <w:rsid w:val="00022438"/>
    <w:rsid w:val="0002330D"/>
    <w:rsid w:val="0003058F"/>
    <w:rsid w:val="000312BC"/>
    <w:rsid w:val="00060345"/>
    <w:rsid w:val="000627C5"/>
    <w:rsid w:val="00062B1E"/>
    <w:rsid w:val="000631EF"/>
    <w:rsid w:val="0007216D"/>
    <w:rsid w:val="00074395"/>
    <w:rsid w:val="00074B25"/>
    <w:rsid w:val="00093929"/>
    <w:rsid w:val="000A039A"/>
    <w:rsid w:val="000B0419"/>
    <w:rsid w:val="000B5EE2"/>
    <w:rsid w:val="000B788F"/>
    <w:rsid w:val="000C3914"/>
    <w:rsid w:val="000C3A78"/>
    <w:rsid w:val="000D1DD7"/>
    <w:rsid w:val="000D5B5B"/>
    <w:rsid w:val="000D5CE4"/>
    <w:rsid w:val="000D66B4"/>
    <w:rsid w:val="000D6A9D"/>
    <w:rsid w:val="000E563F"/>
    <w:rsid w:val="000F2CE0"/>
    <w:rsid w:val="00101267"/>
    <w:rsid w:val="0010146F"/>
    <w:rsid w:val="00104CFA"/>
    <w:rsid w:val="001051B6"/>
    <w:rsid w:val="00106FDD"/>
    <w:rsid w:val="0010735A"/>
    <w:rsid w:val="00110E0E"/>
    <w:rsid w:val="00115897"/>
    <w:rsid w:val="00141D27"/>
    <w:rsid w:val="001453F3"/>
    <w:rsid w:val="0015027F"/>
    <w:rsid w:val="001504F6"/>
    <w:rsid w:val="00151A90"/>
    <w:rsid w:val="001530AD"/>
    <w:rsid w:val="00153FCD"/>
    <w:rsid w:val="00154FC7"/>
    <w:rsid w:val="00164924"/>
    <w:rsid w:val="00166CA8"/>
    <w:rsid w:val="001672E9"/>
    <w:rsid w:val="00175BAC"/>
    <w:rsid w:val="001778DE"/>
    <w:rsid w:val="001909E3"/>
    <w:rsid w:val="00191FD3"/>
    <w:rsid w:val="00193941"/>
    <w:rsid w:val="00197D17"/>
    <w:rsid w:val="001A34C6"/>
    <w:rsid w:val="001A64CA"/>
    <w:rsid w:val="001B5B84"/>
    <w:rsid w:val="001C060A"/>
    <w:rsid w:val="001F11C9"/>
    <w:rsid w:val="001F3446"/>
    <w:rsid w:val="00201F79"/>
    <w:rsid w:val="002077E2"/>
    <w:rsid w:val="00207FEF"/>
    <w:rsid w:val="00214248"/>
    <w:rsid w:val="0021540F"/>
    <w:rsid w:val="00216EED"/>
    <w:rsid w:val="002377D6"/>
    <w:rsid w:val="0024374D"/>
    <w:rsid w:val="0024790A"/>
    <w:rsid w:val="00255A8A"/>
    <w:rsid w:val="0025654B"/>
    <w:rsid w:val="00257F69"/>
    <w:rsid w:val="002703D8"/>
    <w:rsid w:val="002823F2"/>
    <w:rsid w:val="002855DF"/>
    <w:rsid w:val="002865AE"/>
    <w:rsid w:val="00290902"/>
    <w:rsid w:val="00296AA8"/>
    <w:rsid w:val="002C0919"/>
    <w:rsid w:val="002C2B3E"/>
    <w:rsid w:val="002D47D0"/>
    <w:rsid w:val="002E03F4"/>
    <w:rsid w:val="002E3117"/>
    <w:rsid w:val="002E6903"/>
    <w:rsid w:val="002E77A7"/>
    <w:rsid w:val="002F5A09"/>
    <w:rsid w:val="00310479"/>
    <w:rsid w:val="00320BC6"/>
    <w:rsid w:val="003309B8"/>
    <w:rsid w:val="00331AA2"/>
    <w:rsid w:val="0034389A"/>
    <w:rsid w:val="003516DE"/>
    <w:rsid w:val="00376A43"/>
    <w:rsid w:val="0038133B"/>
    <w:rsid w:val="00384C5F"/>
    <w:rsid w:val="00385DEC"/>
    <w:rsid w:val="003935D9"/>
    <w:rsid w:val="00393BFD"/>
    <w:rsid w:val="00393E69"/>
    <w:rsid w:val="003A2828"/>
    <w:rsid w:val="003A5B4C"/>
    <w:rsid w:val="003B085B"/>
    <w:rsid w:val="003B3F84"/>
    <w:rsid w:val="003B5185"/>
    <w:rsid w:val="003B5584"/>
    <w:rsid w:val="003B6409"/>
    <w:rsid w:val="003C1C14"/>
    <w:rsid w:val="003C517A"/>
    <w:rsid w:val="003C661B"/>
    <w:rsid w:val="003D17FF"/>
    <w:rsid w:val="003E4BA1"/>
    <w:rsid w:val="003F56F1"/>
    <w:rsid w:val="004006CA"/>
    <w:rsid w:val="004016F6"/>
    <w:rsid w:val="004072DA"/>
    <w:rsid w:val="00410297"/>
    <w:rsid w:val="00420A30"/>
    <w:rsid w:val="00421870"/>
    <w:rsid w:val="00425806"/>
    <w:rsid w:val="00425CE1"/>
    <w:rsid w:val="00447A11"/>
    <w:rsid w:val="00450A13"/>
    <w:rsid w:val="00453ECB"/>
    <w:rsid w:val="0046334F"/>
    <w:rsid w:val="00466086"/>
    <w:rsid w:val="004815CA"/>
    <w:rsid w:val="00487EE6"/>
    <w:rsid w:val="0049771B"/>
    <w:rsid w:val="004C01CE"/>
    <w:rsid w:val="004C0F25"/>
    <w:rsid w:val="004C109F"/>
    <w:rsid w:val="004D1EC9"/>
    <w:rsid w:val="004D2968"/>
    <w:rsid w:val="004D62B0"/>
    <w:rsid w:val="004D7A87"/>
    <w:rsid w:val="004E1F58"/>
    <w:rsid w:val="004E24E3"/>
    <w:rsid w:val="004E36B0"/>
    <w:rsid w:val="004F040B"/>
    <w:rsid w:val="004F2D95"/>
    <w:rsid w:val="004F46E6"/>
    <w:rsid w:val="00510F56"/>
    <w:rsid w:val="00532727"/>
    <w:rsid w:val="005327BA"/>
    <w:rsid w:val="00541C49"/>
    <w:rsid w:val="005513BD"/>
    <w:rsid w:val="0055162D"/>
    <w:rsid w:val="0058735C"/>
    <w:rsid w:val="005909A2"/>
    <w:rsid w:val="00596847"/>
    <w:rsid w:val="00597D39"/>
    <w:rsid w:val="005A04A7"/>
    <w:rsid w:val="005A3ACA"/>
    <w:rsid w:val="005D37A5"/>
    <w:rsid w:val="005D5616"/>
    <w:rsid w:val="005E1AF4"/>
    <w:rsid w:val="005E4B0E"/>
    <w:rsid w:val="00602D3E"/>
    <w:rsid w:val="00606393"/>
    <w:rsid w:val="00610F8F"/>
    <w:rsid w:val="00620CAD"/>
    <w:rsid w:val="006213D7"/>
    <w:rsid w:val="00621B9C"/>
    <w:rsid w:val="00623FBF"/>
    <w:rsid w:val="00630F0B"/>
    <w:rsid w:val="00632E70"/>
    <w:rsid w:val="00634166"/>
    <w:rsid w:val="006356A2"/>
    <w:rsid w:val="00635CBA"/>
    <w:rsid w:val="00637933"/>
    <w:rsid w:val="00637D5F"/>
    <w:rsid w:val="006405FB"/>
    <w:rsid w:val="006674D4"/>
    <w:rsid w:val="00667C20"/>
    <w:rsid w:val="006750E8"/>
    <w:rsid w:val="00676715"/>
    <w:rsid w:val="0068615C"/>
    <w:rsid w:val="00686558"/>
    <w:rsid w:val="00695340"/>
    <w:rsid w:val="00696F86"/>
    <w:rsid w:val="006A1600"/>
    <w:rsid w:val="006B01F3"/>
    <w:rsid w:val="006B17CD"/>
    <w:rsid w:val="006B5490"/>
    <w:rsid w:val="006B73D5"/>
    <w:rsid w:val="006C0317"/>
    <w:rsid w:val="006D2360"/>
    <w:rsid w:val="006D588E"/>
    <w:rsid w:val="006E580A"/>
    <w:rsid w:val="006F00FC"/>
    <w:rsid w:val="00704E81"/>
    <w:rsid w:val="007058FB"/>
    <w:rsid w:val="00705A79"/>
    <w:rsid w:val="00705FE2"/>
    <w:rsid w:val="007158BE"/>
    <w:rsid w:val="00722EE2"/>
    <w:rsid w:val="00723EFD"/>
    <w:rsid w:val="00726EFC"/>
    <w:rsid w:val="00731C50"/>
    <w:rsid w:val="00732942"/>
    <w:rsid w:val="00736503"/>
    <w:rsid w:val="00742B9D"/>
    <w:rsid w:val="007446EC"/>
    <w:rsid w:val="00753A8C"/>
    <w:rsid w:val="0075511F"/>
    <w:rsid w:val="007667B3"/>
    <w:rsid w:val="00770422"/>
    <w:rsid w:val="00771DE5"/>
    <w:rsid w:val="00771FC4"/>
    <w:rsid w:val="00776ACE"/>
    <w:rsid w:val="0077746F"/>
    <w:rsid w:val="007A5402"/>
    <w:rsid w:val="007A7600"/>
    <w:rsid w:val="007B348C"/>
    <w:rsid w:val="007B4AE0"/>
    <w:rsid w:val="007C3A61"/>
    <w:rsid w:val="007E4732"/>
    <w:rsid w:val="007E5D37"/>
    <w:rsid w:val="007F1A34"/>
    <w:rsid w:val="007F7370"/>
    <w:rsid w:val="00800CDD"/>
    <w:rsid w:val="00804EE6"/>
    <w:rsid w:val="0080550A"/>
    <w:rsid w:val="00806F69"/>
    <w:rsid w:val="00812C19"/>
    <w:rsid w:val="00814254"/>
    <w:rsid w:val="00825AB3"/>
    <w:rsid w:val="00826D57"/>
    <w:rsid w:val="008305E9"/>
    <w:rsid w:val="00831562"/>
    <w:rsid w:val="00833730"/>
    <w:rsid w:val="0084069A"/>
    <w:rsid w:val="008406A9"/>
    <w:rsid w:val="0085632D"/>
    <w:rsid w:val="00861BF9"/>
    <w:rsid w:val="00864655"/>
    <w:rsid w:val="00870CE5"/>
    <w:rsid w:val="0088042B"/>
    <w:rsid w:val="00897B01"/>
    <w:rsid w:val="008A43EB"/>
    <w:rsid w:val="008B1A3A"/>
    <w:rsid w:val="008B3F8C"/>
    <w:rsid w:val="008C2133"/>
    <w:rsid w:val="008D2936"/>
    <w:rsid w:val="008D77B6"/>
    <w:rsid w:val="008F239E"/>
    <w:rsid w:val="008F6E56"/>
    <w:rsid w:val="00901FED"/>
    <w:rsid w:val="00910E90"/>
    <w:rsid w:val="00941A83"/>
    <w:rsid w:val="00945A8D"/>
    <w:rsid w:val="009522A1"/>
    <w:rsid w:val="00956EF8"/>
    <w:rsid w:val="00963C7C"/>
    <w:rsid w:val="00990A8C"/>
    <w:rsid w:val="009A022F"/>
    <w:rsid w:val="009A1CF5"/>
    <w:rsid w:val="009B160B"/>
    <w:rsid w:val="009B2378"/>
    <w:rsid w:val="009C0B88"/>
    <w:rsid w:val="009C1411"/>
    <w:rsid w:val="009C2665"/>
    <w:rsid w:val="009C3E3E"/>
    <w:rsid w:val="009D163A"/>
    <w:rsid w:val="009D36A4"/>
    <w:rsid w:val="009F14A2"/>
    <w:rsid w:val="009F503B"/>
    <w:rsid w:val="00A15711"/>
    <w:rsid w:val="00A17F66"/>
    <w:rsid w:val="00A3770B"/>
    <w:rsid w:val="00A46B31"/>
    <w:rsid w:val="00A54A20"/>
    <w:rsid w:val="00A54B5B"/>
    <w:rsid w:val="00A55562"/>
    <w:rsid w:val="00A76BCC"/>
    <w:rsid w:val="00A77E4A"/>
    <w:rsid w:val="00A82A97"/>
    <w:rsid w:val="00A94BDC"/>
    <w:rsid w:val="00A95967"/>
    <w:rsid w:val="00AA4074"/>
    <w:rsid w:val="00AB3114"/>
    <w:rsid w:val="00AB4F65"/>
    <w:rsid w:val="00AB6003"/>
    <w:rsid w:val="00AC27AD"/>
    <w:rsid w:val="00AC5AC0"/>
    <w:rsid w:val="00AD13E3"/>
    <w:rsid w:val="00AD6003"/>
    <w:rsid w:val="00AE2576"/>
    <w:rsid w:val="00AE2B39"/>
    <w:rsid w:val="00AF5605"/>
    <w:rsid w:val="00B026A9"/>
    <w:rsid w:val="00B114B6"/>
    <w:rsid w:val="00B12D8C"/>
    <w:rsid w:val="00B17F19"/>
    <w:rsid w:val="00B26435"/>
    <w:rsid w:val="00B44007"/>
    <w:rsid w:val="00B5134C"/>
    <w:rsid w:val="00B51E2E"/>
    <w:rsid w:val="00B57E1E"/>
    <w:rsid w:val="00B64CB9"/>
    <w:rsid w:val="00B74F33"/>
    <w:rsid w:val="00B87146"/>
    <w:rsid w:val="00BB1D53"/>
    <w:rsid w:val="00BB75CF"/>
    <w:rsid w:val="00BD5AB6"/>
    <w:rsid w:val="00BE525D"/>
    <w:rsid w:val="00BE6748"/>
    <w:rsid w:val="00BF5551"/>
    <w:rsid w:val="00BF71C3"/>
    <w:rsid w:val="00C0199D"/>
    <w:rsid w:val="00C0393B"/>
    <w:rsid w:val="00C048B5"/>
    <w:rsid w:val="00C056C9"/>
    <w:rsid w:val="00C07E7F"/>
    <w:rsid w:val="00C158B8"/>
    <w:rsid w:val="00C164D8"/>
    <w:rsid w:val="00C31F13"/>
    <w:rsid w:val="00C32AF0"/>
    <w:rsid w:val="00C338D9"/>
    <w:rsid w:val="00C459F6"/>
    <w:rsid w:val="00C4717F"/>
    <w:rsid w:val="00C51BCE"/>
    <w:rsid w:val="00C53823"/>
    <w:rsid w:val="00C61F5B"/>
    <w:rsid w:val="00C64B2F"/>
    <w:rsid w:val="00C80A44"/>
    <w:rsid w:val="00C86088"/>
    <w:rsid w:val="00C875AB"/>
    <w:rsid w:val="00CA4164"/>
    <w:rsid w:val="00CA5491"/>
    <w:rsid w:val="00CB1C92"/>
    <w:rsid w:val="00CB4277"/>
    <w:rsid w:val="00CB4D6E"/>
    <w:rsid w:val="00CC3FBC"/>
    <w:rsid w:val="00CD533E"/>
    <w:rsid w:val="00CF05F4"/>
    <w:rsid w:val="00CF5F64"/>
    <w:rsid w:val="00D0555B"/>
    <w:rsid w:val="00D0622D"/>
    <w:rsid w:val="00D169C6"/>
    <w:rsid w:val="00D24297"/>
    <w:rsid w:val="00D242DE"/>
    <w:rsid w:val="00D25CE5"/>
    <w:rsid w:val="00D3231F"/>
    <w:rsid w:val="00D36C98"/>
    <w:rsid w:val="00D408C7"/>
    <w:rsid w:val="00D43A68"/>
    <w:rsid w:val="00D45E3D"/>
    <w:rsid w:val="00D50BA7"/>
    <w:rsid w:val="00D5614D"/>
    <w:rsid w:val="00D603BD"/>
    <w:rsid w:val="00D60FB8"/>
    <w:rsid w:val="00D73018"/>
    <w:rsid w:val="00D75306"/>
    <w:rsid w:val="00D94CA1"/>
    <w:rsid w:val="00DA0372"/>
    <w:rsid w:val="00DA57F2"/>
    <w:rsid w:val="00DB0E1C"/>
    <w:rsid w:val="00DB10BD"/>
    <w:rsid w:val="00DB541A"/>
    <w:rsid w:val="00DC4A54"/>
    <w:rsid w:val="00DC611C"/>
    <w:rsid w:val="00DE6141"/>
    <w:rsid w:val="00DF423A"/>
    <w:rsid w:val="00E01F08"/>
    <w:rsid w:val="00E02005"/>
    <w:rsid w:val="00E03274"/>
    <w:rsid w:val="00E0745E"/>
    <w:rsid w:val="00E114F8"/>
    <w:rsid w:val="00E1204A"/>
    <w:rsid w:val="00E236AA"/>
    <w:rsid w:val="00E26895"/>
    <w:rsid w:val="00E425FC"/>
    <w:rsid w:val="00E5369E"/>
    <w:rsid w:val="00E5558D"/>
    <w:rsid w:val="00E65096"/>
    <w:rsid w:val="00E7511F"/>
    <w:rsid w:val="00E75BF8"/>
    <w:rsid w:val="00E97946"/>
    <w:rsid w:val="00EA7CBB"/>
    <w:rsid w:val="00EB1281"/>
    <w:rsid w:val="00EB4B4E"/>
    <w:rsid w:val="00EB618A"/>
    <w:rsid w:val="00ED4B2A"/>
    <w:rsid w:val="00ED6B9E"/>
    <w:rsid w:val="00EE5251"/>
    <w:rsid w:val="00EF28F3"/>
    <w:rsid w:val="00EF3970"/>
    <w:rsid w:val="00EF6AE3"/>
    <w:rsid w:val="00F00B5F"/>
    <w:rsid w:val="00F14D1E"/>
    <w:rsid w:val="00F2241B"/>
    <w:rsid w:val="00F24417"/>
    <w:rsid w:val="00F33688"/>
    <w:rsid w:val="00F4291D"/>
    <w:rsid w:val="00F47C00"/>
    <w:rsid w:val="00F57CC0"/>
    <w:rsid w:val="00F61446"/>
    <w:rsid w:val="00F70185"/>
    <w:rsid w:val="00F72C09"/>
    <w:rsid w:val="00F84833"/>
    <w:rsid w:val="00F8524A"/>
    <w:rsid w:val="00F87C37"/>
    <w:rsid w:val="00FA3B46"/>
    <w:rsid w:val="00FA5C25"/>
    <w:rsid w:val="00FB0AC4"/>
    <w:rsid w:val="00FD04BD"/>
    <w:rsid w:val="00FE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019A350"/>
  <w15:chartTrackingRefBased/>
  <w15:docId w15:val="{DB378D17-C07C-4F19-8B7E-59C5AC26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BFD"/>
    <w:rPr>
      <w:rFonts w:ascii="Arial" w:hAnsi="Arial"/>
      <w:sz w:val="24"/>
      <w:lang w:eastAsia="en-US"/>
    </w:rPr>
  </w:style>
  <w:style w:type="paragraph" w:styleId="Heading1">
    <w:name w:val="heading 1"/>
    <w:basedOn w:val="Normal"/>
    <w:next w:val="Normal"/>
    <w:qFormat/>
    <w:rsid w:val="00FA3B46"/>
    <w:pPr>
      <w:keepNext/>
      <w:tabs>
        <w:tab w:val="left" w:pos="3402"/>
        <w:tab w:val="left" w:pos="5670"/>
        <w:tab w:val="left" w:pos="7088"/>
        <w:tab w:val="left" w:pos="8222"/>
      </w:tabs>
      <w:ind w:left="1134" w:hanging="1134"/>
      <w:jc w:val="both"/>
      <w:outlineLvl w:val="0"/>
    </w:pPr>
    <w:rPr>
      <w:b/>
      <w:sz w:val="20"/>
    </w:rPr>
  </w:style>
  <w:style w:type="paragraph" w:styleId="Heading2">
    <w:name w:val="heading 2"/>
    <w:basedOn w:val="Normal"/>
    <w:next w:val="Normal"/>
    <w:qFormat/>
    <w:rsid w:val="00FA3B46"/>
    <w:pPr>
      <w:keepNext/>
      <w:tabs>
        <w:tab w:val="left" w:pos="3402"/>
        <w:tab w:val="left" w:pos="5670"/>
        <w:tab w:val="left" w:pos="7088"/>
        <w:tab w:val="left" w:pos="8222"/>
      </w:tabs>
      <w:ind w:left="567" w:hanging="567"/>
      <w:jc w:val="both"/>
      <w:outlineLvl w:val="1"/>
    </w:pPr>
    <w:rPr>
      <w:b/>
      <w:sz w:val="20"/>
    </w:rPr>
  </w:style>
  <w:style w:type="paragraph" w:styleId="Heading3">
    <w:name w:val="heading 3"/>
    <w:basedOn w:val="Normal"/>
    <w:next w:val="Normal"/>
    <w:qFormat/>
    <w:rsid w:val="00FA3B46"/>
    <w:pPr>
      <w:keepNext/>
      <w:numPr>
        <w:numId w:val="1"/>
      </w:numPr>
      <w:tabs>
        <w:tab w:val="clear" w:pos="1425"/>
        <w:tab w:val="num" w:pos="993"/>
        <w:tab w:val="left" w:pos="5670"/>
        <w:tab w:val="left" w:pos="7088"/>
        <w:tab w:val="left" w:pos="8222"/>
      </w:tabs>
      <w:ind w:left="709" w:hanging="709"/>
      <w:jc w:val="both"/>
      <w:outlineLvl w:val="2"/>
    </w:pPr>
    <w:rPr>
      <w:i/>
      <w:sz w:val="20"/>
    </w:rPr>
  </w:style>
  <w:style w:type="paragraph" w:styleId="Heading9">
    <w:name w:val="heading 9"/>
    <w:basedOn w:val="Normal"/>
    <w:next w:val="Normal"/>
    <w:qFormat/>
    <w:rsid w:val="003B518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BFD"/>
    <w:pPr>
      <w:tabs>
        <w:tab w:val="center" w:pos="4153"/>
        <w:tab w:val="right" w:pos="8306"/>
      </w:tabs>
    </w:pPr>
  </w:style>
  <w:style w:type="table" w:styleId="TableGrid">
    <w:name w:val="Table Grid"/>
    <w:basedOn w:val="TableNormal"/>
    <w:rsid w:val="0039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45E"/>
    <w:rPr>
      <w:color w:val="0000FF"/>
      <w:u w:val="single"/>
    </w:rPr>
  </w:style>
  <w:style w:type="paragraph" w:styleId="Footer">
    <w:name w:val="footer"/>
    <w:basedOn w:val="Normal"/>
    <w:rsid w:val="00AC5AC0"/>
    <w:pPr>
      <w:tabs>
        <w:tab w:val="center" w:pos="4320"/>
        <w:tab w:val="right" w:pos="8640"/>
      </w:tabs>
    </w:pPr>
  </w:style>
  <w:style w:type="character" w:styleId="PageNumber">
    <w:name w:val="page number"/>
    <w:basedOn w:val="DefaultParagraphFont"/>
    <w:rsid w:val="00AC5AC0"/>
  </w:style>
  <w:style w:type="character" w:styleId="Strong">
    <w:name w:val="Strong"/>
    <w:qFormat/>
    <w:rsid w:val="006B5490"/>
    <w:rPr>
      <w:b/>
      <w:bCs/>
    </w:rPr>
  </w:style>
  <w:style w:type="paragraph" w:customStyle="1" w:styleId="cm5">
    <w:name w:val="cm5"/>
    <w:basedOn w:val="Normal"/>
    <w:rsid w:val="006B5490"/>
    <w:pPr>
      <w:spacing w:before="100" w:beforeAutospacing="1" w:after="100" w:afterAutospacing="1"/>
    </w:pPr>
    <w:rPr>
      <w:rFonts w:ascii="Times New Roman" w:hAnsi="Times New Roman"/>
      <w:szCs w:val="24"/>
      <w:lang w:eastAsia="en-GB"/>
    </w:rPr>
  </w:style>
  <w:style w:type="character" w:styleId="Emphasis">
    <w:name w:val="Emphasis"/>
    <w:qFormat/>
    <w:rsid w:val="006B5490"/>
    <w:rPr>
      <w:i/>
      <w:iCs/>
    </w:rPr>
  </w:style>
  <w:style w:type="paragraph" w:customStyle="1" w:styleId="Default">
    <w:name w:val="Default"/>
    <w:rsid w:val="00B64CB9"/>
    <w:pPr>
      <w:widowControl w:val="0"/>
      <w:autoSpaceDE w:val="0"/>
      <w:autoSpaceDN w:val="0"/>
      <w:adjustRightInd w:val="0"/>
    </w:pPr>
    <w:rPr>
      <w:rFonts w:ascii="Arial" w:hAnsi="Arial" w:cs="Arial"/>
      <w:color w:val="000000"/>
      <w:sz w:val="24"/>
      <w:szCs w:val="24"/>
      <w:lang w:val="en-US" w:eastAsia="en-US"/>
    </w:rPr>
  </w:style>
  <w:style w:type="paragraph" w:customStyle="1" w:styleId="policysubhead-italic">
    <w:name w:val="policy subhead - italic"/>
    <w:basedOn w:val="Normal"/>
    <w:next w:val="Normal"/>
    <w:rsid w:val="005513BD"/>
    <w:pPr>
      <w:widowControl w:val="0"/>
      <w:autoSpaceDE w:val="0"/>
      <w:autoSpaceDN w:val="0"/>
      <w:adjustRightInd w:val="0"/>
      <w:spacing w:line="300" w:lineRule="exact"/>
      <w:ind w:left="1134"/>
    </w:pPr>
    <w:rPr>
      <w:rFonts w:ascii="Helvetica" w:hAnsi="Helvetica" w:cs="Helvetica"/>
      <w:szCs w:val="24"/>
      <w:lang w:val="en-US"/>
    </w:rPr>
  </w:style>
  <w:style w:type="paragraph" w:styleId="BalloonText">
    <w:name w:val="Balloon Text"/>
    <w:basedOn w:val="Normal"/>
    <w:semiHidden/>
    <w:rsid w:val="00CA5491"/>
    <w:rPr>
      <w:rFonts w:ascii="Tahoma" w:hAnsi="Tahoma" w:cs="Tahoma"/>
      <w:sz w:val="16"/>
      <w:szCs w:val="16"/>
    </w:rPr>
  </w:style>
  <w:style w:type="character" w:styleId="FootnoteReference">
    <w:name w:val="footnote reference"/>
    <w:semiHidden/>
    <w:rsid w:val="00421870"/>
    <w:rPr>
      <w:vertAlign w:val="superscript"/>
    </w:rPr>
  </w:style>
  <w:style w:type="paragraph" w:styleId="BodyText">
    <w:name w:val="Body Text"/>
    <w:basedOn w:val="Normal"/>
    <w:rsid w:val="00FA3B46"/>
    <w:pPr>
      <w:tabs>
        <w:tab w:val="left" w:pos="3402"/>
        <w:tab w:val="left" w:pos="5670"/>
        <w:tab w:val="left" w:pos="7088"/>
        <w:tab w:val="left" w:pos="8222"/>
      </w:tabs>
      <w:jc w:val="center"/>
    </w:pPr>
    <w:rPr>
      <w:b/>
      <w:sz w:val="32"/>
    </w:rPr>
  </w:style>
  <w:style w:type="paragraph" w:styleId="BodyText2">
    <w:name w:val="Body Text 2"/>
    <w:basedOn w:val="Normal"/>
    <w:rsid w:val="00FA3B46"/>
    <w:pPr>
      <w:jc w:val="both"/>
    </w:pPr>
    <w:rPr>
      <w:rFonts w:cs="Arial"/>
      <w:sz w:val="20"/>
      <w:szCs w:val="24"/>
    </w:rPr>
  </w:style>
  <w:style w:type="paragraph" w:styleId="BodyTextIndent">
    <w:name w:val="Body Text Indent"/>
    <w:basedOn w:val="Normal"/>
    <w:rsid w:val="003B5185"/>
    <w:pPr>
      <w:spacing w:after="120"/>
      <w:ind w:left="283"/>
    </w:pPr>
    <w:rPr>
      <w:rFonts w:ascii="Times New Roman" w:hAnsi="Times New Roman"/>
      <w:szCs w:val="24"/>
    </w:rPr>
  </w:style>
  <w:style w:type="paragraph" w:styleId="EndnoteText">
    <w:name w:val="endnote text"/>
    <w:basedOn w:val="Default"/>
    <w:next w:val="Default"/>
    <w:semiHidden/>
    <w:rsid w:val="003B5185"/>
    <w:pPr>
      <w:widowControl/>
    </w:pPr>
    <w:rPr>
      <w:rFonts w:cs="Times New Roman"/>
      <w:color w:val="auto"/>
    </w:rPr>
  </w:style>
  <w:style w:type="paragraph" w:customStyle="1" w:styleId="-PAGE-">
    <w:name w:val="- PAGE -"/>
    <w:basedOn w:val="Default"/>
    <w:next w:val="Default"/>
    <w:rsid w:val="00257F69"/>
    <w:pPr>
      <w:widowControl/>
    </w:pPr>
    <w:rPr>
      <w:rFonts w:cs="Times New Roman"/>
      <w:color w:val="auto"/>
    </w:rPr>
  </w:style>
  <w:style w:type="paragraph" w:styleId="BodyText3">
    <w:name w:val="Body Text 3"/>
    <w:basedOn w:val="Normal"/>
    <w:rsid w:val="00CF05F4"/>
    <w:pPr>
      <w:spacing w:after="120"/>
    </w:pPr>
    <w:rPr>
      <w:sz w:val="16"/>
      <w:szCs w:val="16"/>
    </w:rPr>
  </w:style>
  <w:style w:type="character" w:customStyle="1" w:styleId="HeaderChar">
    <w:name w:val="Header Char"/>
    <w:link w:val="Header"/>
    <w:rsid w:val="00CF05F4"/>
    <w:rPr>
      <w:rFonts w:ascii="Arial" w:hAnsi="Arial"/>
      <w:sz w:val="24"/>
      <w:lang w:val="en-GB" w:eastAsia="en-US" w:bidi="ar-SA"/>
    </w:rPr>
  </w:style>
  <w:style w:type="paragraph" w:customStyle="1" w:styleId="msolistparagraph0">
    <w:name w:val="msolistparagraph"/>
    <w:basedOn w:val="Normal"/>
    <w:rsid w:val="009A022F"/>
    <w:pPr>
      <w:ind w:left="720"/>
    </w:pPr>
    <w:rPr>
      <w:rFonts w:ascii="Calibri" w:eastAsia="Calibri" w:hAnsi="Calibri"/>
      <w:sz w:val="22"/>
      <w:szCs w:val="22"/>
      <w:lang w:val="en-US"/>
    </w:rPr>
  </w:style>
  <w:style w:type="paragraph" w:styleId="NoSpacing">
    <w:name w:val="No Spacing"/>
    <w:uiPriority w:val="1"/>
    <w:qFormat/>
    <w:rsid w:val="00F852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388">
      <w:bodyDiv w:val="1"/>
      <w:marLeft w:val="0"/>
      <w:marRight w:val="0"/>
      <w:marTop w:val="0"/>
      <w:marBottom w:val="0"/>
      <w:divBdr>
        <w:top w:val="none" w:sz="0" w:space="0" w:color="auto"/>
        <w:left w:val="none" w:sz="0" w:space="0" w:color="auto"/>
        <w:bottom w:val="none" w:sz="0" w:space="0" w:color="auto"/>
        <w:right w:val="none" w:sz="0" w:space="0" w:color="auto"/>
      </w:divBdr>
    </w:div>
    <w:div w:id="595751347">
      <w:bodyDiv w:val="1"/>
      <w:marLeft w:val="80"/>
      <w:marRight w:val="80"/>
      <w:marTop w:val="80"/>
      <w:marBottom w:val="20"/>
      <w:divBdr>
        <w:top w:val="none" w:sz="0" w:space="0" w:color="auto"/>
        <w:left w:val="none" w:sz="0" w:space="0" w:color="auto"/>
        <w:bottom w:val="none" w:sz="0" w:space="0" w:color="auto"/>
        <w:right w:val="none" w:sz="0" w:space="0" w:color="auto"/>
      </w:divBdr>
      <w:divsChild>
        <w:div w:id="349142089">
          <w:marLeft w:val="0"/>
          <w:marRight w:val="0"/>
          <w:marTop w:val="0"/>
          <w:marBottom w:val="0"/>
          <w:divBdr>
            <w:top w:val="none" w:sz="0" w:space="0" w:color="auto"/>
            <w:left w:val="none" w:sz="0" w:space="0" w:color="auto"/>
            <w:bottom w:val="none" w:sz="0" w:space="0" w:color="auto"/>
            <w:right w:val="none" w:sz="0" w:space="0" w:color="auto"/>
          </w:divBdr>
        </w:div>
        <w:div w:id="717317129">
          <w:marLeft w:val="0"/>
          <w:marRight w:val="0"/>
          <w:marTop w:val="0"/>
          <w:marBottom w:val="0"/>
          <w:divBdr>
            <w:top w:val="none" w:sz="0" w:space="0" w:color="auto"/>
            <w:left w:val="none" w:sz="0" w:space="0" w:color="auto"/>
            <w:bottom w:val="none" w:sz="0" w:space="0" w:color="auto"/>
            <w:right w:val="none" w:sz="0" w:space="0" w:color="auto"/>
          </w:divBdr>
        </w:div>
        <w:div w:id="1642223209">
          <w:marLeft w:val="0"/>
          <w:marRight w:val="0"/>
          <w:marTop w:val="0"/>
          <w:marBottom w:val="0"/>
          <w:divBdr>
            <w:top w:val="none" w:sz="0" w:space="0" w:color="auto"/>
            <w:left w:val="none" w:sz="0" w:space="0" w:color="auto"/>
            <w:bottom w:val="none" w:sz="0" w:space="0" w:color="auto"/>
            <w:right w:val="none" w:sz="0" w:space="0" w:color="auto"/>
          </w:divBdr>
        </w:div>
      </w:divsChild>
    </w:div>
    <w:div w:id="1821772013">
      <w:bodyDiv w:val="1"/>
      <w:marLeft w:val="80"/>
      <w:marRight w:val="80"/>
      <w:marTop w:val="80"/>
      <w:marBottom w:val="20"/>
      <w:divBdr>
        <w:top w:val="none" w:sz="0" w:space="0" w:color="auto"/>
        <w:left w:val="none" w:sz="0" w:space="0" w:color="auto"/>
        <w:bottom w:val="none" w:sz="0" w:space="0" w:color="auto"/>
        <w:right w:val="none" w:sz="0" w:space="0" w:color="auto"/>
      </w:divBdr>
      <w:divsChild>
        <w:div w:id="1249729395">
          <w:marLeft w:val="0"/>
          <w:marRight w:val="0"/>
          <w:marTop w:val="0"/>
          <w:marBottom w:val="0"/>
          <w:divBdr>
            <w:top w:val="none" w:sz="0" w:space="0" w:color="auto"/>
            <w:left w:val="none" w:sz="0" w:space="0" w:color="auto"/>
            <w:bottom w:val="none" w:sz="0" w:space="0" w:color="auto"/>
            <w:right w:val="none" w:sz="0" w:space="0" w:color="auto"/>
          </w:divBdr>
        </w:div>
        <w:div w:id="1352074189">
          <w:marLeft w:val="0"/>
          <w:marRight w:val="0"/>
          <w:marTop w:val="0"/>
          <w:marBottom w:val="0"/>
          <w:divBdr>
            <w:top w:val="none" w:sz="0" w:space="0" w:color="auto"/>
            <w:left w:val="none" w:sz="0" w:space="0" w:color="auto"/>
            <w:bottom w:val="none" w:sz="0" w:space="0" w:color="auto"/>
            <w:right w:val="none" w:sz="0" w:space="0" w:color="auto"/>
          </w:divBdr>
        </w:div>
        <w:div w:id="1881672056">
          <w:marLeft w:val="0"/>
          <w:marRight w:val="0"/>
          <w:marTop w:val="0"/>
          <w:marBottom w:val="0"/>
          <w:divBdr>
            <w:top w:val="none" w:sz="0" w:space="0" w:color="auto"/>
            <w:left w:val="none" w:sz="0" w:space="0" w:color="auto"/>
            <w:bottom w:val="none" w:sz="0" w:space="0" w:color="auto"/>
            <w:right w:val="none" w:sz="0" w:space="0" w:color="auto"/>
          </w:divBdr>
        </w:div>
        <w:div w:id="2007198130">
          <w:marLeft w:val="0"/>
          <w:marRight w:val="0"/>
          <w:marTop w:val="0"/>
          <w:marBottom w:val="0"/>
          <w:divBdr>
            <w:top w:val="none" w:sz="0" w:space="0" w:color="auto"/>
            <w:left w:val="none" w:sz="0" w:space="0" w:color="auto"/>
            <w:bottom w:val="none" w:sz="0" w:space="0" w:color="auto"/>
            <w:right w:val="none" w:sz="0" w:space="0" w:color="auto"/>
          </w:divBdr>
        </w:div>
        <w:div w:id="206467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HARROW COUNCIL</vt:lpstr>
    </vt:vector>
  </TitlesOfParts>
  <Company>Harrow Council</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dc:title>
  <dc:subject/>
  <dc:creator>FJagani</dc:creator>
  <cp:keywords/>
  <cp:lastModifiedBy>Mwimanji Chellah</cp:lastModifiedBy>
  <cp:revision>4</cp:revision>
  <cp:lastPrinted>2017-03-22T15:07:00Z</cp:lastPrinted>
  <dcterms:created xsi:type="dcterms:W3CDTF">2022-02-15T16:20:00Z</dcterms:created>
  <dcterms:modified xsi:type="dcterms:W3CDTF">2022-02-15T16:24:00Z</dcterms:modified>
</cp:coreProperties>
</file>